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29" w:rsidRPr="003E5A54" w:rsidRDefault="003E5A54" w:rsidP="00C56A9C">
      <w:pPr>
        <w:shd w:val="clear" w:color="auto" w:fill="FFFFFF"/>
        <w:spacing w:line="276" w:lineRule="auto"/>
        <w:outlineLvl w:val="3"/>
        <w:rPr>
          <w:rFonts w:ascii="Tahoma" w:hAnsi="Tahoma" w:cs="Tahoma"/>
          <w:b/>
          <w:bCs/>
          <w:color w:val="666666"/>
          <w:sz w:val="20"/>
          <w:szCs w:val="20"/>
        </w:rPr>
      </w:pPr>
      <w:r>
        <w:rPr>
          <w:rFonts w:ascii="Tahoma" w:hAnsi="Tahoma" w:cs="Tahoma"/>
          <w:b/>
          <w:bCs/>
          <w:color w:val="666666"/>
          <w:sz w:val="20"/>
          <w:szCs w:val="20"/>
        </w:rPr>
        <w:t>Сбербанк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показал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чистую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прибыль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4A3429">
        <w:rPr>
          <w:rFonts w:ascii="Tahoma" w:hAnsi="Tahoma" w:cs="Tahoma"/>
          <w:b/>
          <w:bCs/>
          <w:color w:val="666666"/>
          <w:sz w:val="20"/>
          <w:szCs w:val="20"/>
        </w:rPr>
        <w:t xml:space="preserve">за </w:t>
      </w:r>
      <w:r w:rsidR="004A3429"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2015 </w:t>
      </w:r>
      <w:r w:rsidR="004A3429">
        <w:rPr>
          <w:rFonts w:ascii="Tahoma" w:hAnsi="Tahoma" w:cs="Tahoma"/>
          <w:b/>
          <w:bCs/>
          <w:color w:val="666666"/>
          <w:sz w:val="20"/>
          <w:szCs w:val="20"/>
        </w:rPr>
        <w:t>года</w:t>
      </w:r>
      <w:r w:rsidR="004A3429"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в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b/>
          <w:bCs/>
          <w:color w:val="666666"/>
          <w:sz w:val="20"/>
          <w:szCs w:val="20"/>
        </w:rPr>
        <w:t>размере</w:t>
      </w:r>
      <w:proofErr w:type="gramEnd"/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4A3429">
        <w:rPr>
          <w:rFonts w:ascii="Tahoma" w:hAnsi="Tahoma" w:cs="Tahoma"/>
          <w:b/>
          <w:bCs/>
          <w:color w:val="666666"/>
          <w:sz w:val="20"/>
          <w:szCs w:val="20"/>
        </w:rPr>
        <w:t>222,9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млрд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.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руб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>.</w:t>
      </w:r>
      <w:r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 w:rsidR="00FA2590">
        <w:rPr>
          <w:rFonts w:ascii="Tahoma" w:hAnsi="Tahoma" w:cs="Tahoma"/>
          <w:b/>
          <w:bCs/>
          <w:color w:val="666666"/>
          <w:sz w:val="20"/>
          <w:szCs w:val="20"/>
        </w:rPr>
        <w:t xml:space="preserve">или </w:t>
      </w:r>
      <w:r w:rsidR="006012BA">
        <w:rPr>
          <w:rFonts w:ascii="Tahoma" w:hAnsi="Tahoma" w:cs="Tahoma"/>
          <w:b/>
          <w:bCs/>
          <w:color w:val="666666"/>
          <w:sz w:val="20"/>
          <w:szCs w:val="20"/>
        </w:rPr>
        <w:t>10,3</w:t>
      </w:r>
      <w:r w:rsidR="006012BA" w:rsidRPr="006012BA">
        <w:rPr>
          <w:rFonts w:ascii="Tahoma" w:hAnsi="Tahoma" w:cs="Tahoma"/>
          <w:b/>
          <w:bCs/>
          <w:color w:val="666666"/>
          <w:sz w:val="20"/>
          <w:szCs w:val="20"/>
        </w:rPr>
        <w:t>6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руб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.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на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обыкновенную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акцию</w:t>
      </w:r>
      <w:r w:rsidR="00FA2590">
        <w:rPr>
          <w:rFonts w:ascii="Tahoma" w:hAnsi="Tahoma" w:cs="Tahoma"/>
          <w:b/>
          <w:bCs/>
          <w:color w:val="666666"/>
          <w:sz w:val="20"/>
          <w:szCs w:val="20"/>
        </w:rPr>
        <w:t>,</w:t>
      </w:r>
      <w:r w:rsidRPr="003E5A54">
        <w:rPr>
          <w:rFonts w:ascii="Tahoma" w:hAnsi="Tahoma" w:cs="Tahoma"/>
          <w:b/>
          <w:bCs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color w:val="666666"/>
          <w:sz w:val="20"/>
          <w:szCs w:val="20"/>
        </w:rPr>
        <w:t>в соответствии с международными стандарта</w:t>
      </w:r>
      <w:r w:rsidR="00D8046B">
        <w:rPr>
          <w:rFonts w:ascii="Tahoma" w:hAnsi="Tahoma" w:cs="Tahoma"/>
          <w:b/>
          <w:bCs/>
          <w:color w:val="666666"/>
          <w:sz w:val="20"/>
          <w:szCs w:val="20"/>
        </w:rPr>
        <w:t>ми финансовой отчетности (МСФО)</w:t>
      </w:r>
    </w:p>
    <w:p w:rsidR="00AE77D4" w:rsidRPr="003E5A54" w:rsidRDefault="00AE77D4" w:rsidP="00345061">
      <w:pPr>
        <w:shd w:val="clear" w:color="auto" w:fill="FFFFFF"/>
        <w:outlineLvl w:val="3"/>
        <w:rPr>
          <w:rFonts w:ascii="Tahoma" w:hAnsi="Tahoma" w:cs="Tahoma"/>
          <w:b/>
          <w:bCs/>
          <w:color w:val="666666"/>
          <w:sz w:val="20"/>
          <w:szCs w:val="20"/>
        </w:rPr>
      </w:pPr>
    </w:p>
    <w:p w:rsidR="002A2770" w:rsidRPr="00FA2590" w:rsidRDefault="004A3429" w:rsidP="00345061">
      <w:pPr>
        <w:shd w:val="clear" w:color="auto" w:fill="FFFFFF"/>
        <w:jc w:val="right"/>
        <w:outlineLvl w:val="3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>15.03.2016</w:t>
      </w:r>
      <w:r w:rsidR="00D8046B" w:rsidRPr="00FA2590">
        <w:rPr>
          <w:rFonts w:ascii="Tahoma" w:hAnsi="Tahoma" w:cs="Tahoma"/>
          <w:color w:val="666666"/>
          <w:sz w:val="20"/>
          <w:szCs w:val="20"/>
        </w:rPr>
        <w:t xml:space="preserve">, </w:t>
      </w:r>
      <w:r w:rsidR="00D8046B">
        <w:rPr>
          <w:rFonts w:ascii="Tahoma" w:hAnsi="Tahoma" w:cs="Tahoma"/>
          <w:color w:val="666666"/>
          <w:sz w:val="20"/>
          <w:szCs w:val="20"/>
        </w:rPr>
        <w:t>Москва</w:t>
      </w:r>
    </w:p>
    <w:p w:rsidR="00E24719" w:rsidRPr="00FA2590" w:rsidRDefault="00E24719" w:rsidP="00C56A9C">
      <w:pPr>
        <w:shd w:val="clear" w:color="auto" w:fill="FFFFFF"/>
        <w:spacing w:line="276" w:lineRule="auto"/>
        <w:jc w:val="right"/>
        <w:outlineLvl w:val="3"/>
        <w:rPr>
          <w:rFonts w:ascii="Tahoma" w:hAnsi="Tahoma" w:cs="Tahoma"/>
          <w:b/>
          <w:bCs/>
          <w:color w:val="666666"/>
          <w:sz w:val="20"/>
          <w:szCs w:val="20"/>
        </w:rPr>
      </w:pPr>
    </w:p>
    <w:p w:rsidR="004C70ED" w:rsidRDefault="00D8046B" w:rsidP="00345061">
      <w:pPr>
        <w:shd w:val="clear" w:color="auto" w:fill="FFFFFF"/>
        <w:spacing w:after="20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>Сбербанк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(</w:t>
      </w:r>
      <w:r>
        <w:rPr>
          <w:rFonts w:ascii="Tahoma" w:hAnsi="Tahoma" w:cs="Tahoma"/>
          <w:color w:val="666666"/>
          <w:sz w:val="20"/>
          <w:szCs w:val="20"/>
        </w:rPr>
        <w:t>далее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– «</w:t>
      </w:r>
      <w:r>
        <w:rPr>
          <w:rFonts w:ascii="Tahoma" w:hAnsi="Tahoma" w:cs="Tahoma"/>
          <w:color w:val="666666"/>
          <w:sz w:val="20"/>
          <w:szCs w:val="20"/>
        </w:rPr>
        <w:t>Группа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») </w:t>
      </w:r>
      <w:r>
        <w:rPr>
          <w:rFonts w:ascii="Tahoma" w:hAnsi="Tahoma" w:cs="Tahoma"/>
          <w:color w:val="666666"/>
          <w:sz w:val="20"/>
          <w:szCs w:val="20"/>
        </w:rPr>
        <w:t>опубликовал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8634C" w:rsidRPr="00CE20CD">
        <w:rPr>
          <w:rFonts w:ascii="Tahoma" w:hAnsi="Tahoma" w:cs="Tahoma"/>
          <w:color w:val="666666"/>
          <w:sz w:val="20"/>
          <w:szCs w:val="20"/>
          <w:highlight w:val="lightGray"/>
          <w:u w:val="single"/>
        </w:rPr>
        <w:t xml:space="preserve">консолидированную </w:t>
      </w:r>
      <w:r w:rsidR="00E90439">
        <w:rPr>
          <w:rFonts w:ascii="Tahoma" w:hAnsi="Tahoma" w:cs="Tahoma"/>
          <w:color w:val="666666"/>
          <w:sz w:val="20"/>
          <w:szCs w:val="20"/>
          <w:highlight w:val="lightGray"/>
          <w:u w:val="single"/>
        </w:rPr>
        <w:t xml:space="preserve">финансовою </w:t>
      </w:r>
      <w:r w:rsidRPr="00CE20CD">
        <w:rPr>
          <w:rFonts w:ascii="Tahoma" w:hAnsi="Tahoma" w:cs="Tahoma"/>
          <w:color w:val="666666"/>
          <w:sz w:val="20"/>
          <w:szCs w:val="20"/>
          <w:highlight w:val="lightGray"/>
          <w:u w:val="single"/>
        </w:rPr>
        <w:t>отчетность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в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соответствии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международными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стандартами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финансовой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отчетности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(</w:t>
      </w:r>
      <w:r>
        <w:rPr>
          <w:rFonts w:ascii="Tahoma" w:hAnsi="Tahoma" w:cs="Tahoma"/>
          <w:color w:val="666666"/>
          <w:sz w:val="20"/>
          <w:szCs w:val="20"/>
        </w:rPr>
        <w:t>МСФО</w:t>
      </w:r>
      <w:r w:rsidRPr="00CE20CD">
        <w:rPr>
          <w:rFonts w:ascii="Tahoma" w:hAnsi="Tahoma" w:cs="Tahoma"/>
          <w:color w:val="666666"/>
          <w:sz w:val="20"/>
          <w:szCs w:val="20"/>
        </w:rPr>
        <w:t>) (</w:t>
      </w:r>
      <w:r>
        <w:rPr>
          <w:rFonts w:ascii="Tahoma" w:hAnsi="Tahoma" w:cs="Tahoma"/>
          <w:color w:val="666666"/>
          <w:sz w:val="20"/>
          <w:szCs w:val="20"/>
        </w:rPr>
        <w:t>далее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– «</w:t>
      </w:r>
      <w:r>
        <w:rPr>
          <w:rFonts w:ascii="Tahoma" w:hAnsi="Tahoma" w:cs="Tahoma"/>
          <w:color w:val="666666"/>
          <w:sz w:val="20"/>
          <w:szCs w:val="20"/>
        </w:rPr>
        <w:t>отчетность</w:t>
      </w:r>
      <w:r w:rsidRPr="00CE20CD">
        <w:rPr>
          <w:rFonts w:ascii="Tahoma" w:hAnsi="Tahoma" w:cs="Tahoma"/>
          <w:color w:val="666666"/>
          <w:sz w:val="20"/>
          <w:szCs w:val="20"/>
        </w:rPr>
        <w:t>»)</w:t>
      </w:r>
      <w:r w:rsidR="009D2F55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42711">
        <w:rPr>
          <w:rFonts w:ascii="Tahoma" w:hAnsi="Tahoma" w:cs="Tahoma"/>
          <w:color w:val="666666"/>
          <w:sz w:val="20"/>
          <w:szCs w:val="20"/>
        </w:rPr>
        <w:t xml:space="preserve">за </w:t>
      </w:r>
      <w:r w:rsidR="0098634C">
        <w:rPr>
          <w:rFonts w:ascii="Tahoma" w:hAnsi="Tahoma" w:cs="Tahoma"/>
          <w:color w:val="666666"/>
          <w:sz w:val="20"/>
          <w:szCs w:val="20"/>
        </w:rPr>
        <w:t>год</w:t>
      </w:r>
      <w:r w:rsidR="00B62FDB">
        <w:rPr>
          <w:rFonts w:ascii="Tahoma" w:hAnsi="Tahoma" w:cs="Tahoma"/>
          <w:color w:val="666666"/>
          <w:sz w:val="20"/>
          <w:szCs w:val="20"/>
        </w:rPr>
        <w:t>, закончившийся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A3429">
        <w:rPr>
          <w:rFonts w:ascii="Tahoma" w:hAnsi="Tahoma" w:cs="Tahoma"/>
          <w:color w:val="666666"/>
          <w:sz w:val="20"/>
          <w:szCs w:val="20"/>
        </w:rPr>
        <w:t>31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A3429">
        <w:rPr>
          <w:rFonts w:ascii="Tahoma" w:hAnsi="Tahoma" w:cs="Tahoma"/>
          <w:color w:val="666666"/>
          <w:sz w:val="20"/>
          <w:szCs w:val="20"/>
        </w:rPr>
        <w:t>декабря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2015 </w:t>
      </w:r>
      <w:r>
        <w:rPr>
          <w:rFonts w:ascii="Tahoma" w:hAnsi="Tahoma" w:cs="Tahoma"/>
          <w:color w:val="666666"/>
          <w:sz w:val="20"/>
          <w:szCs w:val="20"/>
        </w:rPr>
        <w:t>года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, </w:t>
      </w:r>
      <w:r>
        <w:rPr>
          <w:rFonts w:ascii="Tahoma" w:hAnsi="Tahoma" w:cs="Tahoma"/>
          <w:color w:val="666666"/>
          <w:sz w:val="20"/>
          <w:szCs w:val="20"/>
        </w:rPr>
        <w:t>содержащую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отчет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компан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ии</w:t>
      </w:r>
      <w:r w:rsidRPr="00CE20CD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012BA">
        <w:rPr>
          <w:rFonts w:ascii="Tahoma" w:hAnsi="Tahoma" w:cs="Tahoma"/>
          <w:color w:val="666666"/>
          <w:sz w:val="20"/>
          <w:szCs w:val="20"/>
        </w:rPr>
        <w:t>ОО</w:t>
      </w:r>
      <w:r>
        <w:rPr>
          <w:rFonts w:ascii="Tahoma" w:hAnsi="Tahoma" w:cs="Tahoma"/>
          <w:color w:val="666666"/>
          <w:sz w:val="20"/>
          <w:szCs w:val="20"/>
        </w:rPr>
        <w:t>О</w:t>
      </w:r>
      <w:proofErr w:type="gramEnd"/>
      <w:r w:rsidRPr="00CE20CD">
        <w:rPr>
          <w:rFonts w:ascii="Tahoma" w:hAnsi="Tahoma" w:cs="Tahoma"/>
          <w:color w:val="666666"/>
          <w:sz w:val="20"/>
          <w:szCs w:val="20"/>
        </w:rPr>
        <w:t xml:space="preserve"> «</w:t>
      </w:r>
      <w:r w:rsidR="00B62FDB">
        <w:rPr>
          <w:rFonts w:ascii="Tahoma" w:hAnsi="Tahoma" w:cs="Tahoma"/>
          <w:color w:val="666666"/>
          <w:sz w:val="20"/>
          <w:szCs w:val="20"/>
        </w:rPr>
        <w:t>Эрнст энд Янг</w:t>
      </w:r>
      <w:r w:rsidR="00CE20CD">
        <w:rPr>
          <w:rFonts w:ascii="Tahoma" w:hAnsi="Tahoma" w:cs="Tahoma"/>
          <w:color w:val="666666"/>
          <w:sz w:val="20"/>
          <w:szCs w:val="20"/>
        </w:rPr>
        <w:t xml:space="preserve">» о результатах </w:t>
      </w:r>
      <w:r w:rsidR="00E90439">
        <w:rPr>
          <w:rFonts w:ascii="Tahoma" w:hAnsi="Tahoma" w:cs="Tahoma"/>
          <w:color w:val="666666"/>
          <w:sz w:val="20"/>
          <w:szCs w:val="20"/>
        </w:rPr>
        <w:t>независимой аудиторской проверки</w:t>
      </w:r>
      <w:r w:rsidR="00CE20CD">
        <w:rPr>
          <w:rFonts w:ascii="Tahoma" w:hAnsi="Tahoma" w:cs="Tahoma"/>
          <w:color w:val="666666"/>
          <w:sz w:val="20"/>
          <w:szCs w:val="20"/>
        </w:rPr>
        <w:t xml:space="preserve">. </w:t>
      </w:r>
    </w:p>
    <w:p w:rsidR="00EC35E5" w:rsidRDefault="00BE0BBD" w:rsidP="00345061">
      <w:pPr>
        <w:shd w:val="clear" w:color="auto" w:fill="FFFFFF"/>
        <w:spacing w:after="20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>«</w:t>
      </w:r>
      <w:r w:rsidR="004F776C">
        <w:rPr>
          <w:rFonts w:ascii="Tahoma" w:hAnsi="Tahoma" w:cs="Tahoma"/>
          <w:color w:val="666666"/>
          <w:sz w:val="20"/>
          <w:szCs w:val="20"/>
        </w:rPr>
        <w:t>В 2015 году мы столкнулись с непростыми макроэкономическими условиями, тем не менее</w:t>
      </w:r>
      <w:r w:rsidR="00AC7BE0">
        <w:rPr>
          <w:rFonts w:ascii="Tahoma" w:hAnsi="Tahoma" w:cs="Tahoma"/>
          <w:color w:val="666666"/>
          <w:sz w:val="20"/>
          <w:szCs w:val="20"/>
        </w:rPr>
        <w:t>,</w:t>
      </w:r>
      <w:r w:rsidR="004F776C">
        <w:rPr>
          <w:rFonts w:ascii="Tahoma" w:hAnsi="Tahoma" w:cs="Tahoma"/>
          <w:color w:val="666666"/>
          <w:sz w:val="20"/>
          <w:szCs w:val="20"/>
        </w:rPr>
        <w:t xml:space="preserve"> нам удалось достичь двузначных знач</w:t>
      </w:r>
      <w:r w:rsidR="007B3487">
        <w:rPr>
          <w:rFonts w:ascii="Tahoma" w:hAnsi="Tahoma" w:cs="Tahoma"/>
          <w:color w:val="666666"/>
          <w:sz w:val="20"/>
          <w:szCs w:val="20"/>
        </w:rPr>
        <w:t>ений по рентабельности капитала</w:t>
      </w:r>
      <w:r w:rsidR="004F776C">
        <w:rPr>
          <w:rFonts w:ascii="Tahoma" w:hAnsi="Tahoma" w:cs="Tahoma"/>
          <w:color w:val="666666"/>
          <w:sz w:val="20"/>
          <w:szCs w:val="20"/>
        </w:rPr>
        <w:t xml:space="preserve"> благодаря восстановлению чистого процентного дохода, </w:t>
      </w:r>
      <w:r w:rsidR="00D86A5D">
        <w:rPr>
          <w:rFonts w:ascii="Tahoma" w:hAnsi="Tahoma" w:cs="Tahoma"/>
          <w:color w:val="666666"/>
          <w:sz w:val="20"/>
          <w:szCs w:val="20"/>
        </w:rPr>
        <w:t>хорошей динамике</w:t>
      </w:r>
      <w:r w:rsidR="003C7C94">
        <w:rPr>
          <w:rFonts w:ascii="Tahoma" w:hAnsi="Tahoma" w:cs="Tahoma"/>
          <w:color w:val="666666"/>
          <w:sz w:val="20"/>
          <w:szCs w:val="20"/>
        </w:rPr>
        <w:t xml:space="preserve"> комиссионного дохода и жесткому контролю</w:t>
      </w:r>
      <w:r w:rsidR="004F776C">
        <w:rPr>
          <w:rFonts w:ascii="Tahoma" w:hAnsi="Tahoma" w:cs="Tahoma"/>
          <w:color w:val="666666"/>
          <w:sz w:val="20"/>
          <w:szCs w:val="20"/>
        </w:rPr>
        <w:t xml:space="preserve"> над расходами. Я бы также хотел отметить наши достижения в части </w:t>
      </w:r>
      <w:r w:rsidR="00F42194">
        <w:rPr>
          <w:rFonts w:ascii="Tahoma" w:hAnsi="Tahoma" w:cs="Tahoma"/>
          <w:color w:val="666666"/>
          <w:sz w:val="20"/>
          <w:szCs w:val="20"/>
        </w:rPr>
        <w:t>завершения программ</w:t>
      </w:r>
      <w:r w:rsidR="00D46A9F">
        <w:rPr>
          <w:rFonts w:ascii="Tahoma" w:hAnsi="Tahoma" w:cs="Tahoma"/>
          <w:color w:val="666666"/>
          <w:sz w:val="20"/>
          <w:szCs w:val="20"/>
        </w:rPr>
        <w:t>ы</w:t>
      </w:r>
      <w:r w:rsidR="00F42194">
        <w:rPr>
          <w:rFonts w:ascii="Tahoma" w:hAnsi="Tahoma" w:cs="Tahoma"/>
          <w:color w:val="666666"/>
          <w:sz w:val="20"/>
          <w:szCs w:val="20"/>
        </w:rPr>
        <w:t xml:space="preserve"> централизации ИТ-систем, </w:t>
      </w:r>
      <w:r w:rsidR="003D52E9">
        <w:rPr>
          <w:rFonts w:ascii="Tahoma" w:hAnsi="Tahoma" w:cs="Tahoma"/>
          <w:color w:val="666666"/>
          <w:sz w:val="20"/>
          <w:szCs w:val="20"/>
        </w:rPr>
        <w:t xml:space="preserve">успешной консолидации </w:t>
      </w:r>
      <w:r w:rsidR="004F776C">
        <w:rPr>
          <w:rFonts w:ascii="Tahoma" w:hAnsi="Tahoma" w:cs="Tahoma"/>
          <w:color w:val="666666"/>
          <w:sz w:val="20"/>
          <w:szCs w:val="20"/>
        </w:rPr>
        <w:t>рег</w:t>
      </w:r>
      <w:r w:rsidR="003D52E9">
        <w:rPr>
          <w:rFonts w:ascii="Tahoma" w:hAnsi="Tahoma" w:cs="Tahoma"/>
          <w:color w:val="666666"/>
          <w:sz w:val="20"/>
          <w:szCs w:val="20"/>
        </w:rPr>
        <w:t>иональных банков и реорганизации</w:t>
      </w:r>
      <w:r w:rsidR="004F776C">
        <w:rPr>
          <w:rFonts w:ascii="Tahoma" w:hAnsi="Tahoma" w:cs="Tahoma"/>
          <w:color w:val="666666"/>
          <w:sz w:val="20"/>
          <w:szCs w:val="20"/>
        </w:rPr>
        <w:t xml:space="preserve"> функц</w:t>
      </w:r>
      <w:r w:rsidR="005860B9">
        <w:rPr>
          <w:rFonts w:ascii="Tahoma" w:hAnsi="Tahoma" w:cs="Tahoma"/>
          <w:color w:val="666666"/>
          <w:sz w:val="20"/>
          <w:szCs w:val="20"/>
        </w:rPr>
        <w:t xml:space="preserve">ионала </w:t>
      </w:r>
      <w:r w:rsidR="004F776C">
        <w:rPr>
          <w:rFonts w:ascii="Tahoma" w:hAnsi="Tahoma" w:cs="Tahoma"/>
          <w:color w:val="666666"/>
          <w:sz w:val="20"/>
          <w:szCs w:val="20"/>
        </w:rPr>
        <w:t xml:space="preserve">головных отделений. Эти усилия направлены на повышение нашей операционной эффективности и снижение времени </w:t>
      </w:r>
      <w:r w:rsidR="00E12272">
        <w:rPr>
          <w:rFonts w:ascii="Tahoma" w:hAnsi="Tahoma" w:cs="Tahoma"/>
          <w:color w:val="666666"/>
          <w:sz w:val="20"/>
          <w:szCs w:val="20"/>
        </w:rPr>
        <w:t>запуска продуктов</w:t>
      </w:r>
      <w:r w:rsidR="004F776C">
        <w:rPr>
          <w:rFonts w:ascii="Tahoma" w:hAnsi="Tahoma" w:cs="Tahoma"/>
          <w:color w:val="666666"/>
          <w:sz w:val="20"/>
          <w:szCs w:val="20"/>
        </w:rPr>
        <w:t xml:space="preserve"> на рынок. В заключении я хотел бы отметить, что доволен</w:t>
      </w:r>
      <w:r w:rsidR="00933EF0">
        <w:rPr>
          <w:rFonts w:ascii="Tahoma" w:hAnsi="Tahoma" w:cs="Tahoma"/>
          <w:color w:val="666666"/>
          <w:sz w:val="20"/>
          <w:szCs w:val="20"/>
        </w:rPr>
        <w:t xml:space="preserve"> результатами</w:t>
      </w:r>
      <w:r w:rsidR="004F776C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33EF0">
        <w:rPr>
          <w:rFonts w:ascii="Tahoma" w:hAnsi="Tahoma" w:cs="Tahoma"/>
          <w:color w:val="666666"/>
          <w:sz w:val="20"/>
          <w:szCs w:val="20"/>
        </w:rPr>
        <w:t>развития нашего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933EF0">
        <w:rPr>
          <w:rFonts w:ascii="Tahoma" w:hAnsi="Tahoma" w:cs="Tahoma"/>
          <w:color w:val="666666"/>
          <w:sz w:val="20"/>
          <w:szCs w:val="20"/>
        </w:rPr>
        <w:t xml:space="preserve">цифрового бизнеса </w:t>
      </w:r>
      <w:r>
        <w:rPr>
          <w:rFonts w:ascii="Tahoma" w:hAnsi="Tahoma" w:cs="Tahoma"/>
          <w:color w:val="666666"/>
          <w:sz w:val="20"/>
          <w:szCs w:val="20"/>
        </w:rPr>
        <w:t>– количество наших активных пользователей он-</w:t>
      </w:r>
      <w:proofErr w:type="spellStart"/>
      <w:r>
        <w:rPr>
          <w:rFonts w:ascii="Tahoma" w:hAnsi="Tahoma" w:cs="Tahoma"/>
          <w:color w:val="666666"/>
          <w:sz w:val="20"/>
          <w:szCs w:val="20"/>
        </w:rPr>
        <w:t>лайн</w:t>
      </w:r>
      <w:proofErr w:type="spellEnd"/>
      <w:r>
        <w:rPr>
          <w:rFonts w:ascii="Tahoma" w:hAnsi="Tahoma" w:cs="Tahoma"/>
          <w:color w:val="666666"/>
          <w:sz w:val="20"/>
          <w:szCs w:val="20"/>
        </w:rPr>
        <w:t xml:space="preserve"> сервисов достигло 2</w:t>
      </w:r>
      <w:r w:rsidR="000B2CF6">
        <w:rPr>
          <w:rFonts w:ascii="Tahoma" w:hAnsi="Tahoma" w:cs="Tahoma"/>
          <w:color w:val="666666"/>
          <w:sz w:val="20"/>
          <w:szCs w:val="20"/>
        </w:rPr>
        <w:t>5</w:t>
      </w:r>
      <w:r>
        <w:rPr>
          <w:rFonts w:ascii="Tahoma" w:hAnsi="Tahoma" w:cs="Tahoma"/>
          <w:color w:val="666666"/>
          <w:sz w:val="20"/>
          <w:szCs w:val="20"/>
        </w:rPr>
        <w:t xml:space="preserve"> миллионов 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на конец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 xml:space="preserve"> 2015</w:t>
      </w:r>
      <w:r w:rsidR="000B2CF6">
        <w:rPr>
          <w:rFonts w:ascii="Tahoma" w:hAnsi="Tahoma" w:cs="Tahoma"/>
          <w:color w:val="666666"/>
          <w:sz w:val="20"/>
          <w:szCs w:val="20"/>
        </w:rPr>
        <w:t xml:space="preserve"> года</w:t>
      </w:r>
      <w:r>
        <w:rPr>
          <w:rFonts w:ascii="Tahoma" w:hAnsi="Tahoma" w:cs="Tahoma"/>
          <w:color w:val="666666"/>
          <w:sz w:val="20"/>
          <w:szCs w:val="20"/>
        </w:rPr>
        <w:t xml:space="preserve">» </w:t>
      </w:r>
      <w:r w:rsidR="00EC35E5">
        <w:rPr>
          <w:rFonts w:ascii="Tahoma" w:hAnsi="Tahoma" w:cs="Tahoma"/>
          <w:color w:val="666666"/>
          <w:sz w:val="20"/>
          <w:szCs w:val="20"/>
        </w:rPr>
        <w:t>- отметил Председател</w:t>
      </w:r>
      <w:r w:rsidR="004A3429">
        <w:rPr>
          <w:rFonts w:ascii="Tahoma" w:hAnsi="Tahoma" w:cs="Tahoma"/>
          <w:color w:val="666666"/>
          <w:sz w:val="20"/>
          <w:szCs w:val="20"/>
        </w:rPr>
        <w:t>ь</w:t>
      </w:r>
      <w:r w:rsidR="00EC35E5">
        <w:rPr>
          <w:rFonts w:ascii="Tahoma" w:hAnsi="Tahoma" w:cs="Tahoma"/>
          <w:color w:val="666666"/>
          <w:sz w:val="20"/>
          <w:szCs w:val="20"/>
        </w:rPr>
        <w:t xml:space="preserve"> Правления Сбербанка </w:t>
      </w:r>
      <w:r w:rsidR="004A3429">
        <w:rPr>
          <w:rFonts w:ascii="Tahoma" w:hAnsi="Tahoma" w:cs="Tahoma"/>
          <w:color w:val="666666"/>
          <w:sz w:val="20"/>
          <w:szCs w:val="20"/>
        </w:rPr>
        <w:t>Герман Греф</w:t>
      </w:r>
      <w:r w:rsidR="00EC35E5">
        <w:rPr>
          <w:rFonts w:ascii="Tahoma" w:hAnsi="Tahoma" w:cs="Tahoma"/>
          <w:color w:val="666666"/>
          <w:sz w:val="20"/>
          <w:szCs w:val="20"/>
        </w:rPr>
        <w:t xml:space="preserve">. </w:t>
      </w:r>
    </w:p>
    <w:p w:rsidR="00347B40" w:rsidRPr="00347B40" w:rsidRDefault="00347B40" w:rsidP="00484FC2">
      <w:pPr>
        <w:shd w:val="clear" w:color="auto" w:fill="FFFFFF"/>
        <w:spacing w:before="360" w:after="20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Ключевые </w:t>
      </w:r>
      <w:r w:rsidR="004A3429">
        <w:rPr>
          <w:rStyle w:val="a3"/>
          <w:rFonts w:ascii="Tahoma" w:hAnsi="Tahoma" w:cs="Tahoma"/>
          <w:color w:val="666666"/>
          <w:sz w:val="20"/>
          <w:szCs w:val="20"/>
        </w:rPr>
        <w:t xml:space="preserve">финансовые </w:t>
      </w:r>
      <w:r w:rsidR="00BE0BBD">
        <w:rPr>
          <w:rStyle w:val="a3"/>
          <w:rFonts w:ascii="Tahoma" w:hAnsi="Tahoma" w:cs="Tahoma"/>
          <w:color w:val="666666"/>
          <w:sz w:val="20"/>
          <w:szCs w:val="20"/>
        </w:rPr>
        <w:t>показатели</w:t>
      </w:r>
      <w:r w:rsidR="00DA585C">
        <w:rPr>
          <w:rStyle w:val="a3"/>
          <w:rFonts w:ascii="Tahoma" w:hAnsi="Tahoma" w:cs="Tahoma"/>
          <w:color w:val="666666"/>
          <w:sz w:val="20"/>
          <w:szCs w:val="20"/>
        </w:rPr>
        <w:t xml:space="preserve"> </w:t>
      </w:r>
      <w:r w:rsidR="004A3429">
        <w:rPr>
          <w:rStyle w:val="a3"/>
          <w:rFonts w:ascii="Tahoma" w:hAnsi="Tahoma" w:cs="Tahoma"/>
          <w:color w:val="666666"/>
          <w:sz w:val="20"/>
          <w:szCs w:val="20"/>
        </w:rPr>
        <w:t>Группы Сбербанк за 2015 год</w:t>
      </w:r>
      <w:r w:rsidR="00AA0AA9" w:rsidRPr="00DA585C">
        <w:rPr>
          <w:rStyle w:val="a3"/>
          <w:rFonts w:ascii="Tahoma" w:hAnsi="Tahoma" w:cs="Tahoma"/>
          <w:color w:val="666666"/>
          <w:sz w:val="20"/>
          <w:szCs w:val="20"/>
        </w:rPr>
        <w:t>:</w:t>
      </w:r>
    </w:p>
    <w:p w:rsidR="00FA2590" w:rsidRDefault="00347B40" w:rsidP="00345061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B25D7E">
        <w:rPr>
          <w:rFonts w:ascii="Tahoma" w:hAnsi="Tahoma" w:cs="Tahoma"/>
          <w:b/>
          <w:color w:val="666666"/>
          <w:sz w:val="20"/>
          <w:szCs w:val="20"/>
        </w:rPr>
        <w:t xml:space="preserve">Чистая </w:t>
      </w:r>
      <w:r w:rsidR="00742711" w:rsidRPr="00B25D7E">
        <w:rPr>
          <w:rFonts w:ascii="Tahoma" w:hAnsi="Tahoma" w:cs="Tahoma"/>
          <w:b/>
          <w:color w:val="666666"/>
          <w:sz w:val="20"/>
          <w:szCs w:val="20"/>
        </w:rPr>
        <w:t>пр</w:t>
      </w:r>
      <w:r w:rsidR="00FA2590" w:rsidRPr="00B25D7E">
        <w:rPr>
          <w:rFonts w:ascii="Tahoma" w:hAnsi="Tahoma" w:cs="Tahoma"/>
          <w:b/>
          <w:color w:val="666666"/>
          <w:sz w:val="20"/>
          <w:szCs w:val="20"/>
        </w:rPr>
        <w:t>ибыль</w:t>
      </w:r>
      <w:r w:rsidR="00FA2590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B25D7E">
        <w:rPr>
          <w:rFonts w:ascii="Tahoma" w:hAnsi="Tahoma" w:cs="Tahoma"/>
          <w:color w:val="666666"/>
          <w:sz w:val="20"/>
          <w:szCs w:val="20"/>
        </w:rPr>
        <w:t>составила</w:t>
      </w:r>
      <w:r w:rsidR="00FA2590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4A3429">
        <w:rPr>
          <w:rFonts w:ascii="Tahoma" w:hAnsi="Tahoma" w:cs="Tahoma"/>
          <w:b/>
          <w:color w:val="666666"/>
          <w:sz w:val="20"/>
          <w:szCs w:val="20"/>
        </w:rPr>
        <w:t>222,9</w:t>
      </w:r>
      <w:r w:rsidR="00FA2590" w:rsidRPr="00B25D7E">
        <w:rPr>
          <w:rFonts w:ascii="Tahoma" w:hAnsi="Tahoma" w:cs="Tahoma"/>
          <w:b/>
          <w:color w:val="666666"/>
          <w:sz w:val="20"/>
          <w:szCs w:val="20"/>
        </w:rPr>
        <w:t xml:space="preserve"> млрд. руб.</w:t>
      </w:r>
      <w:r w:rsidR="00FA2590" w:rsidRPr="00B25D7E">
        <w:rPr>
          <w:rFonts w:ascii="Tahoma" w:hAnsi="Tahoma" w:cs="Tahoma"/>
          <w:color w:val="666666"/>
          <w:sz w:val="20"/>
          <w:szCs w:val="20"/>
        </w:rPr>
        <w:t xml:space="preserve"> или </w:t>
      </w:r>
      <w:r w:rsidR="004A3429">
        <w:rPr>
          <w:rFonts w:ascii="Tahoma" w:hAnsi="Tahoma" w:cs="Tahoma"/>
          <w:color w:val="666666"/>
          <w:sz w:val="20"/>
          <w:szCs w:val="20"/>
        </w:rPr>
        <w:t>10,36</w:t>
      </w:r>
      <w:r w:rsidR="00742711" w:rsidRPr="00B25D7E">
        <w:rPr>
          <w:rFonts w:ascii="Tahoma" w:hAnsi="Tahoma" w:cs="Tahoma"/>
          <w:color w:val="666666"/>
          <w:sz w:val="20"/>
          <w:szCs w:val="20"/>
        </w:rPr>
        <w:t xml:space="preserve"> руб. на обыкновенную акцию</w:t>
      </w:r>
      <w:r w:rsidR="00045345">
        <w:rPr>
          <w:rFonts w:ascii="Tahoma" w:hAnsi="Tahoma" w:cs="Tahoma"/>
          <w:color w:val="666666"/>
          <w:sz w:val="20"/>
          <w:szCs w:val="20"/>
        </w:rPr>
        <w:t>.</w:t>
      </w:r>
    </w:p>
    <w:p w:rsidR="004A3429" w:rsidRDefault="004A3429" w:rsidP="00345061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 xml:space="preserve">Рентабельность капитала </w:t>
      </w:r>
      <w:r w:rsidR="00C16E54">
        <w:rPr>
          <w:rFonts w:ascii="Tahoma" w:hAnsi="Tahoma" w:cs="Tahoma"/>
          <w:color w:val="666666"/>
          <w:sz w:val="20"/>
          <w:szCs w:val="20"/>
        </w:rPr>
        <w:t>достигла 10,2</w:t>
      </w:r>
      <w:r>
        <w:rPr>
          <w:rFonts w:ascii="Tahoma" w:hAnsi="Tahoma" w:cs="Tahoma"/>
          <w:color w:val="666666"/>
          <w:sz w:val="20"/>
          <w:szCs w:val="20"/>
        </w:rPr>
        <w:t>%</w:t>
      </w:r>
      <w:r w:rsidR="00045345">
        <w:rPr>
          <w:rFonts w:ascii="Tahoma" w:hAnsi="Tahoma" w:cs="Tahoma"/>
          <w:color w:val="666666"/>
          <w:sz w:val="20"/>
          <w:szCs w:val="20"/>
        </w:rPr>
        <w:t>.</w:t>
      </w:r>
    </w:p>
    <w:p w:rsidR="004A3429" w:rsidRPr="00B25D7E" w:rsidRDefault="004A3429" w:rsidP="00345061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 xml:space="preserve">Достаточность капитала </w:t>
      </w:r>
      <w:r>
        <w:rPr>
          <w:rFonts w:ascii="Tahoma" w:hAnsi="Tahoma" w:cs="Tahoma"/>
          <w:color w:val="666666"/>
          <w:sz w:val="20"/>
          <w:szCs w:val="20"/>
        </w:rPr>
        <w:t>укреплялась в течени</w:t>
      </w:r>
      <w:r w:rsidR="009C658A">
        <w:rPr>
          <w:rFonts w:ascii="Tahoma" w:hAnsi="Tahoma" w:cs="Tahoma"/>
          <w:color w:val="666666"/>
          <w:sz w:val="20"/>
          <w:szCs w:val="20"/>
        </w:rPr>
        <w:t>е</w:t>
      </w:r>
      <w:r>
        <w:rPr>
          <w:rFonts w:ascii="Tahoma" w:hAnsi="Tahoma" w:cs="Tahoma"/>
          <w:color w:val="666666"/>
          <w:sz w:val="20"/>
          <w:szCs w:val="20"/>
        </w:rPr>
        <w:t xml:space="preserve"> года, коэффициент достаточности основного капитала вырос на 30 базисных пунктов до 8,9%, в то время как коэффициент достаточности общего капитала </w:t>
      </w:r>
      <w:r w:rsidR="009C658A">
        <w:rPr>
          <w:rFonts w:ascii="Tahoma" w:hAnsi="Tahoma" w:cs="Tahoma"/>
          <w:color w:val="666666"/>
          <w:sz w:val="20"/>
          <w:szCs w:val="20"/>
        </w:rPr>
        <w:t xml:space="preserve">достиг 12,6%, </w:t>
      </w:r>
      <w:r>
        <w:rPr>
          <w:rFonts w:ascii="Tahoma" w:hAnsi="Tahoma" w:cs="Tahoma"/>
          <w:color w:val="666666"/>
          <w:sz w:val="20"/>
          <w:szCs w:val="20"/>
        </w:rPr>
        <w:t>увеличи</w:t>
      </w:r>
      <w:r w:rsidR="009C658A">
        <w:rPr>
          <w:rFonts w:ascii="Tahoma" w:hAnsi="Tahoma" w:cs="Tahoma"/>
          <w:color w:val="666666"/>
          <w:sz w:val="20"/>
          <w:szCs w:val="20"/>
        </w:rPr>
        <w:t>вшись</w:t>
      </w:r>
      <w:r>
        <w:rPr>
          <w:rFonts w:ascii="Tahoma" w:hAnsi="Tahoma" w:cs="Tahoma"/>
          <w:color w:val="666666"/>
          <w:sz w:val="20"/>
          <w:szCs w:val="20"/>
        </w:rPr>
        <w:t xml:space="preserve"> на 50 базисных пунктов</w:t>
      </w:r>
      <w:r w:rsidR="00045345">
        <w:rPr>
          <w:rFonts w:ascii="Tahoma" w:hAnsi="Tahoma" w:cs="Tahoma"/>
          <w:color w:val="666666"/>
          <w:sz w:val="20"/>
          <w:szCs w:val="20"/>
        </w:rPr>
        <w:t>.</w:t>
      </w:r>
    </w:p>
    <w:p w:rsidR="009C658A" w:rsidRPr="009C658A" w:rsidRDefault="009C658A" w:rsidP="009C658A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 w:rsidRPr="00B25D7E">
        <w:rPr>
          <w:rStyle w:val="a3"/>
          <w:rFonts w:ascii="Tahoma" w:hAnsi="Tahoma" w:cs="Tahoma"/>
          <w:color w:val="666666"/>
          <w:sz w:val="20"/>
          <w:szCs w:val="20"/>
        </w:rPr>
        <w:t>Средства клиентов</w:t>
      </w:r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proofErr w:type="gramStart"/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выросли на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27,2</w:t>
      </w:r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%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за</w:t>
      </w:r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2015 год относительно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2014 года и</w:t>
      </w:r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составили</w:t>
      </w:r>
      <w:proofErr w:type="gramEnd"/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19,8</w:t>
      </w:r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трлн. руб.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, при этом средства розничных клиентов увеличились на 29,1%, а корпоративных на 24,4%</w:t>
      </w:r>
      <w:r w:rsidR="00BE0BBD">
        <w:rPr>
          <w:rStyle w:val="a3"/>
          <w:rFonts w:ascii="Tahoma" w:hAnsi="Tahoma" w:cs="Tahoma"/>
          <w:b w:val="0"/>
          <w:color w:val="666666"/>
          <w:sz w:val="20"/>
          <w:szCs w:val="20"/>
        </w:rPr>
        <w:t>, сократив зависимость от государственного фондирования</w:t>
      </w:r>
      <w:r w:rsidR="00045345">
        <w:rPr>
          <w:rStyle w:val="a3"/>
          <w:rFonts w:ascii="Tahoma" w:hAnsi="Tahoma" w:cs="Tahoma"/>
          <w:b w:val="0"/>
          <w:color w:val="666666"/>
          <w:sz w:val="20"/>
          <w:szCs w:val="20"/>
        </w:rPr>
        <w:t>.</w:t>
      </w:r>
    </w:p>
    <w:p w:rsidR="009C658A" w:rsidRPr="00B25D7E" w:rsidRDefault="009C658A" w:rsidP="009C658A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Общий портфель кредитов </w:t>
      </w:r>
      <w:r w:rsidR="006012BA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до вычета резерва под обесценение </w:t>
      </w:r>
      <w:r w:rsidRPr="009C658A">
        <w:rPr>
          <w:rStyle w:val="a3"/>
          <w:rFonts w:ascii="Tahoma" w:hAnsi="Tahoma" w:cs="Tahoma"/>
          <w:b w:val="0"/>
          <w:color w:val="666666"/>
          <w:sz w:val="20"/>
          <w:szCs w:val="20"/>
        </w:rPr>
        <w:t>вырос на 7</w:t>
      </w:r>
      <w:r w:rsidR="00C16E54">
        <w:rPr>
          <w:rStyle w:val="a3"/>
          <w:rFonts w:ascii="Tahoma" w:hAnsi="Tahoma" w:cs="Tahoma"/>
          <w:b w:val="0"/>
          <w:color w:val="666666"/>
          <w:sz w:val="20"/>
          <w:szCs w:val="20"/>
        </w:rPr>
        <w:t>,0</w:t>
      </w:r>
      <w:r w:rsidRPr="009C658A">
        <w:rPr>
          <w:rStyle w:val="a3"/>
          <w:rFonts w:ascii="Tahoma" w:hAnsi="Tahoma" w:cs="Tahoma"/>
          <w:b w:val="0"/>
          <w:color w:val="666666"/>
          <w:sz w:val="20"/>
          <w:szCs w:val="20"/>
        </w:rPr>
        <w:t>%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в 2015 году, основными драйверами стали ипотечное кредитование и </w:t>
      </w:r>
      <w:r w:rsidR="001714F3">
        <w:rPr>
          <w:rStyle w:val="a3"/>
          <w:rFonts w:ascii="Tahoma" w:hAnsi="Tahoma" w:cs="Tahoma"/>
          <w:b w:val="0"/>
          <w:color w:val="666666"/>
          <w:sz w:val="20"/>
          <w:szCs w:val="20"/>
        </w:rPr>
        <w:t>коммерческие кредиты юридическим лицам, которые увеличились на 12,5% и 14,9% соответственно. Доля Сбербанка на российском рынке ипотечного кре</w:t>
      </w:r>
      <w:r w:rsidR="00125855">
        <w:rPr>
          <w:rStyle w:val="a3"/>
          <w:rFonts w:ascii="Tahoma" w:hAnsi="Tahoma" w:cs="Tahoma"/>
          <w:b w:val="0"/>
          <w:color w:val="666666"/>
          <w:sz w:val="20"/>
          <w:szCs w:val="20"/>
        </w:rPr>
        <w:t>дитования достигла 55,6%</w:t>
      </w:r>
      <w:r w:rsidR="00045345">
        <w:rPr>
          <w:rStyle w:val="a3"/>
          <w:rFonts w:ascii="Tahoma" w:hAnsi="Tahoma" w:cs="Tahoma"/>
          <w:b w:val="0"/>
          <w:color w:val="666666"/>
          <w:sz w:val="20"/>
          <w:szCs w:val="20"/>
        </w:rPr>
        <w:t>.</w:t>
      </w:r>
    </w:p>
    <w:p w:rsidR="003A7B07" w:rsidRPr="00B25D7E" w:rsidRDefault="00B04475" w:rsidP="00345061">
      <w:pPr>
        <w:pStyle w:val="a6"/>
        <w:numPr>
          <w:ilvl w:val="0"/>
          <w:numId w:val="13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B25D7E">
        <w:rPr>
          <w:rFonts w:ascii="Tahoma" w:hAnsi="Tahoma" w:cs="Tahoma"/>
          <w:b/>
          <w:color w:val="666666"/>
          <w:sz w:val="20"/>
          <w:szCs w:val="20"/>
        </w:rPr>
        <w:t>Отношение кредитного портфеля к средствам клиентов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составило</w:t>
      </w:r>
      <w:r w:rsidR="008E5257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1714F3">
        <w:rPr>
          <w:rFonts w:ascii="Tahoma" w:hAnsi="Tahoma" w:cs="Tahoma"/>
          <w:color w:val="666666"/>
          <w:sz w:val="20"/>
          <w:szCs w:val="20"/>
        </w:rPr>
        <w:t>91,9</w:t>
      </w:r>
      <w:r w:rsidR="00411542" w:rsidRPr="00B25D7E">
        <w:rPr>
          <w:rFonts w:ascii="Tahoma" w:hAnsi="Tahoma" w:cs="Tahoma"/>
          <w:color w:val="666666"/>
          <w:sz w:val="20"/>
          <w:szCs w:val="20"/>
        </w:rPr>
        <w:t xml:space="preserve">% </w:t>
      </w:r>
      <w:r w:rsidR="00C068C1" w:rsidRPr="00B25D7E">
        <w:rPr>
          <w:rFonts w:ascii="Tahoma" w:hAnsi="Tahoma" w:cs="Tahoma"/>
          <w:color w:val="666666"/>
          <w:sz w:val="20"/>
          <w:szCs w:val="20"/>
        </w:rPr>
        <w:t>на фоне улучшения ситуации с ликвидностью</w:t>
      </w:r>
      <w:r w:rsidR="00045345">
        <w:rPr>
          <w:rFonts w:ascii="Tahoma" w:hAnsi="Tahoma" w:cs="Tahoma"/>
          <w:color w:val="666666"/>
          <w:sz w:val="20"/>
          <w:szCs w:val="20"/>
        </w:rPr>
        <w:t>.</w:t>
      </w:r>
    </w:p>
    <w:p w:rsidR="00BE0BBD" w:rsidRDefault="00BE0BBD" w:rsidP="00345061">
      <w:pPr>
        <w:shd w:val="clear" w:color="auto" w:fill="FFFFFF"/>
        <w:jc w:val="both"/>
        <w:rPr>
          <w:rFonts w:ascii="Tahoma" w:hAnsi="Tahoma" w:cs="Tahoma"/>
          <w:b/>
          <w:color w:val="666666"/>
          <w:sz w:val="20"/>
          <w:szCs w:val="20"/>
        </w:rPr>
      </w:pPr>
    </w:p>
    <w:p w:rsidR="00345061" w:rsidRDefault="00BB2BAA" w:rsidP="00345061">
      <w:pPr>
        <w:shd w:val="clear" w:color="auto" w:fill="FFFFFF"/>
        <w:jc w:val="both"/>
        <w:rPr>
          <w:rFonts w:ascii="Tahoma" w:hAnsi="Tahoma" w:cs="Tahoma"/>
          <w:b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Ключевые показатели 4 квартала 2015 года:</w:t>
      </w:r>
    </w:p>
    <w:p w:rsidR="00BB2BAA" w:rsidRDefault="00BB2BAA" w:rsidP="00345061">
      <w:pPr>
        <w:shd w:val="clear" w:color="auto" w:fill="FFFFFF"/>
        <w:jc w:val="both"/>
        <w:rPr>
          <w:rFonts w:ascii="Tahoma" w:hAnsi="Tahoma" w:cs="Tahoma"/>
          <w:b/>
          <w:color w:val="666666"/>
          <w:sz w:val="20"/>
          <w:szCs w:val="20"/>
        </w:rPr>
      </w:pPr>
    </w:p>
    <w:p w:rsidR="00BB2BAA" w:rsidRDefault="00BB2BAA" w:rsidP="00BB2BAA">
      <w:pPr>
        <w:pStyle w:val="a6"/>
        <w:numPr>
          <w:ilvl w:val="0"/>
          <w:numId w:val="17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B25D7E">
        <w:rPr>
          <w:rFonts w:ascii="Tahoma" w:hAnsi="Tahoma" w:cs="Tahoma"/>
          <w:b/>
          <w:color w:val="666666"/>
          <w:sz w:val="20"/>
          <w:szCs w:val="20"/>
        </w:rPr>
        <w:t>Чистая прибыль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составила </w:t>
      </w:r>
      <w:r>
        <w:rPr>
          <w:rFonts w:ascii="Tahoma" w:hAnsi="Tahoma" w:cs="Tahoma"/>
          <w:b/>
          <w:color w:val="666666"/>
          <w:sz w:val="20"/>
          <w:szCs w:val="20"/>
        </w:rPr>
        <w:t>72,6</w:t>
      </w:r>
      <w:r w:rsidRPr="00B25D7E">
        <w:rPr>
          <w:rFonts w:ascii="Tahoma" w:hAnsi="Tahoma" w:cs="Tahoma"/>
          <w:b/>
          <w:color w:val="666666"/>
          <w:sz w:val="20"/>
          <w:szCs w:val="20"/>
        </w:rPr>
        <w:t xml:space="preserve"> млрд. руб.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или </w:t>
      </w:r>
      <w:r w:rsidR="00C16E54">
        <w:rPr>
          <w:rFonts w:ascii="Tahoma" w:hAnsi="Tahoma" w:cs="Tahoma"/>
          <w:color w:val="666666"/>
          <w:sz w:val="20"/>
          <w:szCs w:val="20"/>
        </w:rPr>
        <w:t>3,40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руб. на обыкновенную акцию в </w:t>
      </w:r>
      <w:r>
        <w:rPr>
          <w:rFonts w:ascii="Tahoma" w:hAnsi="Tahoma" w:cs="Tahoma"/>
          <w:color w:val="666666"/>
          <w:sz w:val="20"/>
          <w:szCs w:val="20"/>
        </w:rPr>
        <w:t>4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gramStart"/>
      <w:r w:rsidRPr="00B25D7E">
        <w:rPr>
          <w:rFonts w:ascii="Tahoma" w:hAnsi="Tahoma" w:cs="Tahoma"/>
          <w:color w:val="666666"/>
          <w:sz w:val="20"/>
          <w:szCs w:val="20"/>
        </w:rPr>
        <w:t>квартале</w:t>
      </w:r>
      <w:proofErr w:type="gramEnd"/>
      <w:r w:rsidRPr="00B25D7E">
        <w:rPr>
          <w:rFonts w:ascii="Tahoma" w:hAnsi="Tahoma" w:cs="Tahoma"/>
          <w:color w:val="666666"/>
          <w:sz w:val="20"/>
          <w:szCs w:val="20"/>
        </w:rPr>
        <w:t xml:space="preserve"> 2015 года</w:t>
      </w:r>
      <w:r w:rsidR="00BE0BBD">
        <w:rPr>
          <w:rFonts w:ascii="Tahoma" w:hAnsi="Tahoma" w:cs="Tahoma"/>
          <w:color w:val="666666"/>
          <w:sz w:val="20"/>
          <w:szCs w:val="20"/>
        </w:rPr>
        <w:t>, прибавив 48,2% по сравнению с 4 кварталом 2014</w:t>
      </w:r>
      <w:r w:rsidR="00045345">
        <w:rPr>
          <w:rFonts w:ascii="Tahoma" w:hAnsi="Tahoma" w:cs="Tahoma"/>
          <w:color w:val="666666"/>
          <w:sz w:val="20"/>
          <w:szCs w:val="20"/>
        </w:rPr>
        <w:t>.</w:t>
      </w:r>
    </w:p>
    <w:p w:rsidR="00BB2BAA" w:rsidRPr="00B25D7E" w:rsidRDefault="00BB2BAA" w:rsidP="00BB2BAA">
      <w:pPr>
        <w:pStyle w:val="a6"/>
        <w:numPr>
          <w:ilvl w:val="0"/>
          <w:numId w:val="17"/>
        </w:numPr>
        <w:shd w:val="clear" w:color="auto" w:fill="FFFFFF"/>
        <w:spacing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 xml:space="preserve">Рентабельность капитала </w:t>
      </w:r>
      <w:r>
        <w:rPr>
          <w:rFonts w:ascii="Tahoma" w:hAnsi="Tahoma" w:cs="Tahoma"/>
          <w:color w:val="666666"/>
          <w:sz w:val="20"/>
          <w:szCs w:val="20"/>
        </w:rPr>
        <w:t xml:space="preserve">в 4 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квартале</w:t>
      </w:r>
      <w:proofErr w:type="gramEnd"/>
      <w:r w:rsidR="00532314">
        <w:rPr>
          <w:rFonts w:ascii="Tahoma" w:hAnsi="Tahoma" w:cs="Tahoma"/>
          <w:color w:val="666666"/>
          <w:sz w:val="20"/>
          <w:szCs w:val="20"/>
        </w:rPr>
        <w:t xml:space="preserve"> 2015</w:t>
      </w:r>
      <w:r w:rsidR="00F52E57">
        <w:rPr>
          <w:rFonts w:ascii="Tahoma" w:hAnsi="Tahoma" w:cs="Tahoma"/>
          <w:color w:val="666666"/>
          <w:sz w:val="20"/>
          <w:szCs w:val="20"/>
        </w:rPr>
        <w:t xml:space="preserve"> составила 12,6%, увеличившись на 290</w:t>
      </w:r>
      <w:r>
        <w:rPr>
          <w:rFonts w:ascii="Tahoma" w:hAnsi="Tahoma" w:cs="Tahoma"/>
          <w:color w:val="666666"/>
          <w:sz w:val="20"/>
          <w:szCs w:val="20"/>
        </w:rPr>
        <w:t xml:space="preserve"> базисных пунктов по сравнению с 4 кварталом 2014</w:t>
      </w:r>
      <w:r w:rsidR="00045345">
        <w:rPr>
          <w:rFonts w:ascii="Tahoma" w:hAnsi="Tahoma" w:cs="Tahoma"/>
          <w:color w:val="666666"/>
          <w:sz w:val="20"/>
          <w:szCs w:val="20"/>
        </w:rPr>
        <w:t>.</w:t>
      </w:r>
    </w:p>
    <w:p w:rsidR="00BE0BBD" w:rsidRPr="00532314" w:rsidRDefault="00BE0BBD" w:rsidP="00BE0BBD">
      <w:pPr>
        <w:pStyle w:val="a6"/>
        <w:numPr>
          <w:ilvl w:val="0"/>
          <w:numId w:val="17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</w:rPr>
        <w:t xml:space="preserve">Квартальный </w:t>
      </w:r>
      <w:r w:rsidRPr="00532314">
        <w:rPr>
          <w:rFonts w:ascii="Tahoma" w:hAnsi="Tahoma" w:cs="Tahoma"/>
          <w:b/>
          <w:color w:val="666666"/>
          <w:sz w:val="20"/>
          <w:szCs w:val="20"/>
        </w:rPr>
        <w:t>показатель стоимости риска</w:t>
      </w:r>
      <w:r>
        <w:rPr>
          <w:rFonts w:ascii="Tahoma" w:hAnsi="Tahoma" w:cs="Tahoma"/>
          <w:color w:val="666666"/>
          <w:sz w:val="20"/>
          <w:szCs w:val="20"/>
        </w:rPr>
        <w:t xml:space="preserve"> составил </w:t>
      </w:r>
      <w:r w:rsidRPr="00BE0BBD">
        <w:rPr>
          <w:rFonts w:ascii="Tahoma" w:hAnsi="Tahoma" w:cs="Tahoma"/>
          <w:color w:val="666666"/>
          <w:sz w:val="20"/>
          <w:szCs w:val="20"/>
        </w:rPr>
        <w:t>230</w:t>
      </w:r>
      <w:r w:rsidR="006012BA">
        <w:rPr>
          <w:rFonts w:ascii="Tahoma" w:hAnsi="Tahoma" w:cs="Tahoma"/>
          <w:color w:val="666666"/>
          <w:sz w:val="20"/>
          <w:szCs w:val="20"/>
        </w:rPr>
        <w:t xml:space="preserve"> базисных</w:t>
      </w:r>
      <w:r>
        <w:rPr>
          <w:rFonts w:ascii="Tahoma" w:hAnsi="Tahoma" w:cs="Tahoma"/>
          <w:color w:val="666666"/>
          <w:sz w:val="20"/>
          <w:szCs w:val="20"/>
        </w:rPr>
        <w:t xml:space="preserve"> пункт</w:t>
      </w:r>
      <w:r w:rsidR="006012BA">
        <w:rPr>
          <w:rFonts w:ascii="Tahoma" w:hAnsi="Tahoma" w:cs="Tahoma"/>
          <w:color w:val="666666"/>
          <w:sz w:val="20"/>
          <w:szCs w:val="20"/>
        </w:rPr>
        <w:t>ов</w:t>
      </w:r>
      <w:r>
        <w:rPr>
          <w:rFonts w:ascii="Tahoma" w:hAnsi="Tahoma" w:cs="Tahoma"/>
          <w:color w:val="666666"/>
          <w:sz w:val="20"/>
          <w:szCs w:val="20"/>
        </w:rPr>
        <w:t xml:space="preserve">, снизившись на </w:t>
      </w:r>
      <w:r w:rsidRPr="00BE0BBD">
        <w:rPr>
          <w:rFonts w:ascii="Tahoma" w:hAnsi="Tahoma" w:cs="Tahoma"/>
          <w:color w:val="666666"/>
          <w:sz w:val="20"/>
          <w:szCs w:val="20"/>
        </w:rPr>
        <w:t>49</w:t>
      </w:r>
      <w:r>
        <w:rPr>
          <w:rFonts w:ascii="Tahoma" w:hAnsi="Tahoma" w:cs="Tahoma"/>
          <w:color w:val="666666"/>
          <w:sz w:val="20"/>
          <w:szCs w:val="20"/>
        </w:rPr>
        <w:t xml:space="preserve"> базисных пунктов к 3 кварталу 2015. Стоимость риска розничного портфеля составила 49 базисных пунктов, снизившись на 162 базисных пункта к 3 кварталу 2015. </w:t>
      </w:r>
      <w:r w:rsidR="00356F1B">
        <w:rPr>
          <w:rFonts w:ascii="Tahoma" w:hAnsi="Tahoma" w:cs="Tahoma"/>
          <w:color w:val="666666"/>
          <w:sz w:val="20"/>
          <w:szCs w:val="20"/>
        </w:rPr>
        <w:t>Продолжилось замедление ухудшения</w:t>
      </w:r>
      <w:r>
        <w:rPr>
          <w:rFonts w:ascii="Tahoma" w:hAnsi="Tahoma" w:cs="Tahoma"/>
          <w:color w:val="666666"/>
          <w:sz w:val="20"/>
          <w:szCs w:val="20"/>
        </w:rPr>
        <w:t xml:space="preserve"> качества розничного кредитного портфеля в течение квартала, особенно в потребительских 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кредитах</w:t>
      </w:r>
      <w:proofErr w:type="gramEnd"/>
      <w:r w:rsidR="00045345">
        <w:rPr>
          <w:rFonts w:ascii="Tahoma" w:hAnsi="Tahoma" w:cs="Tahoma"/>
          <w:color w:val="666666"/>
          <w:sz w:val="20"/>
          <w:szCs w:val="20"/>
        </w:rPr>
        <w:t>.</w:t>
      </w:r>
    </w:p>
    <w:p w:rsidR="00BB2BAA" w:rsidRPr="00B25D7E" w:rsidRDefault="00BB2BAA" w:rsidP="00BB2BAA">
      <w:pPr>
        <w:pStyle w:val="a6"/>
        <w:numPr>
          <w:ilvl w:val="0"/>
          <w:numId w:val="17"/>
        </w:numPr>
        <w:shd w:val="clear" w:color="auto" w:fill="FFFFFF"/>
        <w:spacing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 w:rsidRPr="00B25D7E">
        <w:rPr>
          <w:rStyle w:val="a3"/>
          <w:rFonts w:ascii="Tahoma" w:hAnsi="Tahoma" w:cs="Tahoma"/>
          <w:color w:val="666666"/>
          <w:sz w:val="20"/>
          <w:szCs w:val="20"/>
        </w:rPr>
        <w:t>Средства клиентов</w:t>
      </w:r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proofErr w:type="gramStart"/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выросли на </w:t>
      </w:r>
      <w:r w:rsidR="00532314">
        <w:rPr>
          <w:rStyle w:val="a3"/>
          <w:rFonts w:ascii="Tahoma" w:hAnsi="Tahoma" w:cs="Tahoma"/>
          <w:b w:val="0"/>
          <w:color w:val="666666"/>
          <w:sz w:val="20"/>
          <w:szCs w:val="20"/>
        </w:rPr>
        <w:t>8,3</w:t>
      </w:r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% в </w:t>
      </w:r>
      <w:r w:rsidR="00BE0BBD">
        <w:rPr>
          <w:rStyle w:val="a3"/>
          <w:rFonts w:ascii="Tahoma" w:hAnsi="Tahoma" w:cs="Tahoma"/>
          <w:b w:val="0"/>
          <w:color w:val="666666"/>
          <w:sz w:val="20"/>
          <w:szCs w:val="20"/>
        </w:rPr>
        <w:t>4</w:t>
      </w:r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квартале 2015 года относительно предыдущего квартала</w:t>
      </w:r>
      <w:r w:rsidR="0053231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и составили</w:t>
      </w:r>
      <w:proofErr w:type="gramEnd"/>
      <w:r w:rsidR="0053231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19,8</w:t>
      </w:r>
      <w:r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трлн. руб.</w:t>
      </w:r>
      <w:r w:rsidR="00532314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Средства розничных клиентов выросли на 10,6%, а корпоративных кли</w:t>
      </w:r>
      <w:r w:rsidR="00125855">
        <w:rPr>
          <w:rStyle w:val="a3"/>
          <w:rFonts w:ascii="Tahoma" w:hAnsi="Tahoma" w:cs="Tahoma"/>
          <w:b w:val="0"/>
          <w:color w:val="666666"/>
          <w:sz w:val="20"/>
          <w:szCs w:val="20"/>
        </w:rPr>
        <w:t>ентов на 4,9% за 4 квартал 2015</w:t>
      </w:r>
      <w:r w:rsidR="00045345">
        <w:rPr>
          <w:rStyle w:val="a3"/>
          <w:rFonts w:ascii="Tahoma" w:hAnsi="Tahoma" w:cs="Tahoma"/>
          <w:b w:val="0"/>
          <w:color w:val="666666"/>
          <w:sz w:val="20"/>
          <w:szCs w:val="20"/>
        </w:rPr>
        <w:t>.</w:t>
      </w:r>
    </w:p>
    <w:p w:rsidR="00532314" w:rsidRPr="00532314" w:rsidRDefault="00532314" w:rsidP="00BB2BAA">
      <w:pPr>
        <w:pStyle w:val="a6"/>
        <w:numPr>
          <w:ilvl w:val="0"/>
          <w:numId w:val="17"/>
        </w:numPr>
        <w:shd w:val="clear" w:color="auto" w:fill="FFFFFF"/>
        <w:spacing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194CEB">
        <w:rPr>
          <w:rFonts w:ascii="Tahoma" w:hAnsi="Tahoma" w:cs="Tahoma"/>
          <w:b/>
          <w:color w:val="666666"/>
          <w:sz w:val="20"/>
          <w:szCs w:val="20"/>
        </w:rPr>
        <w:t xml:space="preserve">Доля </w:t>
      </w:r>
      <w:r w:rsidR="00CE76F5">
        <w:rPr>
          <w:rFonts w:ascii="Tahoma" w:hAnsi="Tahoma" w:cs="Tahoma"/>
          <w:b/>
          <w:color w:val="666666"/>
          <w:sz w:val="20"/>
          <w:szCs w:val="20"/>
        </w:rPr>
        <w:t xml:space="preserve">неработающих кредитов </w:t>
      </w:r>
      <w:r w:rsidRPr="00194CEB">
        <w:rPr>
          <w:rFonts w:ascii="Tahoma" w:hAnsi="Tahoma" w:cs="Tahoma"/>
          <w:b/>
          <w:color w:val="666666"/>
          <w:sz w:val="20"/>
          <w:szCs w:val="20"/>
        </w:rPr>
        <w:t xml:space="preserve">в кредитном </w:t>
      </w:r>
      <w:proofErr w:type="gramStart"/>
      <w:r w:rsidRPr="00194CEB">
        <w:rPr>
          <w:rFonts w:ascii="Tahoma" w:hAnsi="Tahoma" w:cs="Tahoma"/>
          <w:b/>
          <w:color w:val="666666"/>
          <w:sz w:val="20"/>
          <w:szCs w:val="20"/>
        </w:rPr>
        <w:t>портфеле</w:t>
      </w:r>
      <w:proofErr w:type="gramEnd"/>
      <w:r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>снизилась до 5</w:t>
      </w:r>
      <w:r w:rsidR="00BE0BBD">
        <w:rPr>
          <w:rFonts w:ascii="Tahoma" w:hAnsi="Tahoma" w:cs="Tahoma"/>
          <w:color w:val="666666"/>
          <w:sz w:val="20"/>
          <w:szCs w:val="20"/>
        </w:rPr>
        <w:t>,0</w:t>
      </w:r>
      <w:r w:rsidR="00125855">
        <w:rPr>
          <w:rFonts w:ascii="Tahoma" w:hAnsi="Tahoma" w:cs="Tahoma"/>
          <w:color w:val="666666"/>
          <w:sz w:val="20"/>
          <w:szCs w:val="20"/>
        </w:rPr>
        <w:t>% с 5,4</w:t>
      </w:r>
      <w:r>
        <w:rPr>
          <w:rFonts w:ascii="Tahoma" w:hAnsi="Tahoma" w:cs="Tahoma"/>
          <w:color w:val="666666"/>
          <w:sz w:val="20"/>
          <w:szCs w:val="20"/>
        </w:rPr>
        <w:t xml:space="preserve">% кварталом ранее, в то время как уровень покрытия </w:t>
      </w:r>
      <w:r w:rsidR="00BE0BBD">
        <w:rPr>
          <w:rFonts w:ascii="Tahoma" w:hAnsi="Tahoma" w:cs="Tahoma"/>
          <w:color w:val="666666"/>
          <w:sz w:val="20"/>
          <w:szCs w:val="20"/>
        </w:rPr>
        <w:t xml:space="preserve">резервами </w:t>
      </w:r>
      <w:r w:rsidR="00F67FA8">
        <w:rPr>
          <w:rFonts w:ascii="Tahoma" w:hAnsi="Tahoma" w:cs="Tahoma"/>
          <w:color w:val="666666"/>
          <w:sz w:val="20"/>
          <w:szCs w:val="20"/>
        </w:rPr>
        <w:t>вырос до 1,2 ра</w:t>
      </w:r>
      <w:r w:rsidR="00125855">
        <w:rPr>
          <w:rFonts w:ascii="Tahoma" w:hAnsi="Tahoma" w:cs="Tahoma"/>
          <w:color w:val="666666"/>
          <w:sz w:val="20"/>
          <w:szCs w:val="20"/>
        </w:rPr>
        <w:t>з с 1,1 раза в 4 квартале 2015</w:t>
      </w:r>
      <w:r w:rsidR="00045345">
        <w:rPr>
          <w:rFonts w:ascii="Tahoma" w:hAnsi="Tahoma" w:cs="Tahoma"/>
          <w:color w:val="666666"/>
          <w:sz w:val="20"/>
          <w:szCs w:val="20"/>
        </w:rPr>
        <w:t>.</w:t>
      </w:r>
    </w:p>
    <w:p w:rsidR="00345061" w:rsidRPr="00345061" w:rsidRDefault="00345061" w:rsidP="00345061">
      <w:pPr>
        <w:shd w:val="clear" w:color="auto" w:fill="FFFFFF"/>
        <w:jc w:val="both"/>
        <w:rPr>
          <w:rFonts w:ascii="Tahoma" w:hAnsi="Tahoma" w:cs="Tahoma"/>
          <w:b/>
          <w:color w:val="666666"/>
          <w:sz w:val="20"/>
          <w:szCs w:val="20"/>
        </w:rPr>
      </w:pPr>
      <w:r w:rsidRPr="00345061">
        <w:rPr>
          <w:rFonts w:ascii="Tahoma" w:hAnsi="Tahoma" w:cs="Tahoma"/>
          <w:b/>
          <w:color w:val="666666"/>
          <w:sz w:val="20"/>
          <w:szCs w:val="20"/>
        </w:rPr>
        <w:t xml:space="preserve">Обзор основных финансовых показателей </w:t>
      </w:r>
    </w:p>
    <w:tbl>
      <w:tblPr>
        <w:tblStyle w:val="-30"/>
        <w:tblpPr w:leftFromText="180" w:rightFromText="180" w:vertAnchor="text" w:horzAnchor="margin" w:tblpY="357"/>
        <w:tblW w:w="10287" w:type="dxa"/>
        <w:tblLayout w:type="fixed"/>
        <w:tblLook w:val="0420" w:firstRow="1" w:lastRow="0" w:firstColumn="0" w:lastColumn="0" w:noHBand="0" w:noVBand="1"/>
      </w:tblPr>
      <w:tblGrid>
        <w:gridCol w:w="2174"/>
        <w:gridCol w:w="904"/>
        <w:gridCol w:w="900"/>
        <w:gridCol w:w="810"/>
        <w:gridCol w:w="90"/>
        <w:gridCol w:w="1080"/>
        <w:gridCol w:w="90"/>
        <w:gridCol w:w="1148"/>
        <w:gridCol w:w="1003"/>
        <w:gridCol w:w="981"/>
        <w:gridCol w:w="1094"/>
        <w:gridCol w:w="13"/>
      </w:tblGrid>
      <w:tr w:rsidR="00405BFE" w:rsidRPr="00B25D7E" w:rsidTr="006A588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3" w:type="dxa"/>
          <w:trHeight w:val="360"/>
        </w:trPr>
        <w:tc>
          <w:tcPr>
            <w:tcW w:w="2174" w:type="dxa"/>
          </w:tcPr>
          <w:p w:rsidR="004C68E4" w:rsidRPr="00122CEE" w:rsidRDefault="004C68E4" w:rsidP="00122CEE">
            <w:pP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122CEE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В млрд. руб., если не указано иное</w:t>
            </w:r>
          </w:p>
        </w:tc>
        <w:tc>
          <w:tcPr>
            <w:tcW w:w="904" w:type="dxa"/>
          </w:tcPr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4</w:t>
            </w:r>
            <w:r w:rsidR="004C68E4"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кв. 2015</w:t>
            </w:r>
          </w:p>
        </w:tc>
        <w:tc>
          <w:tcPr>
            <w:tcW w:w="900" w:type="dxa"/>
          </w:tcPr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</w:t>
            </w:r>
            <w:r w:rsidR="004C68E4"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кв. 2015</w:t>
            </w:r>
          </w:p>
        </w:tc>
        <w:tc>
          <w:tcPr>
            <w:tcW w:w="900" w:type="dxa"/>
            <w:gridSpan w:val="2"/>
          </w:tcPr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4</w:t>
            </w:r>
            <w:r w:rsidR="004C68E4"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кв. 2014</w:t>
            </w:r>
          </w:p>
        </w:tc>
        <w:tc>
          <w:tcPr>
            <w:tcW w:w="1170" w:type="dxa"/>
            <w:gridSpan w:val="2"/>
          </w:tcPr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4</w:t>
            </w:r>
            <w:r w:rsidR="004C68E4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кв.</w:t>
            </w:r>
            <w:r w:rsidR="00BD09A1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15/</w:t>
            </w:r>
          </w:p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3</w:t>
            </w:r>
            <w:r w:rsidR="004C68E4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кв.15 </w:t>
            </w:r>
          </w:p>
        </w:tc>
        <w:tc>
          <w:tcPr>
            <w:tcW w:w="1148" w:type="dxa"/>
          </w:tcPr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4 </w:t>
            </w:r>
            <w:r w:rsidR="004C68E4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кв. 15</w:t>
            </w:r>
            <w:r w:rsidR="00BD09A1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/</w:t>
            </w:r>
          </w:p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4</w:t>
            </w:r>
            <w:r w:rsidR="004C68E4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 кв. 14 </w:t>
            </w:r>
          </w:p>
        </w:tc>
        <w:tc>
          <w:tcPr>
            <w:tcW w:w="1003" w:type="dxa"/>
          </w:tcPr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12</w:t>
            </w:r>
            <w:r w:rsidR="004C68E4"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M</w:t>
            </w:r>
            <w:r w:rsidR="004C68E4"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2015</w:t>
            </w:r>
          </w:p>
        </w:tc>
        <w:tc>
          <w:tcPr>
            <w:tcW w:w="981" w:type="dxa"/>
          </w:tcPr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12</w:t>
            </w:r>
            <w:r w:rsidR="004C68E4"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M</w:t>
            </w:r>
            <w:r w:rsidR="004C68E4" w:rsidRPr="00122CE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 xml:space="preserve"> 2014</w:t>
            </w:r>
          </w:p>
        </w:tc>
        <w:tc>
          <w:tcPr>
            <w:tcW w:w="1094" w:type="dxa"/>
          </w:tcPr>
          <w:p w:rsidR="00233E8D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12</w:t>
            </w:r>
            <w:r w:rsidR="004C68E4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 w:rsidR="004C68E4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15</w:t>
            </w:r>
            <w:r w:rsidR="00BD09A1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/</w:t>
            </w:r>
          </w:p>
          <w:p w:rsidR="004C68E4" w:rsidRPr="00122CEE" w:rsidRDefault="00F67FA8" w:rsidP="00122CEE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12</w:t>
            </w:r>
            <w:r w:rsidR="004C68E4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</w:t>
            </w:r>
            <w:r w:rsidR="004C68E4" w:rsidRPr="00122CE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 xml:space="preserve">14 </w:t>
            </w:r>
          </w:p>
          <w:p w:rsidR="004C68E4" w:rsidRPr="00122CEE" w:rsidRDefault="004C68E4" w:rsidP="00122CEE">
            <w:pPr>
              <w:jc w:val="right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</w:p>
        </w:tc>
      </w:tr>
      <w:tr w:rsidR="00B116C5" w:rsidRPr="00B25D7E" w:rsidTr="006A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  <w:shd w:val="clear" w:color="auto" w:fill="D6E3BC" w:themeFill="accent3" w:themeFillTint="66"/>
          </w:tcPr>
          <w:p w:rsidR="00122CEE" w:rsidRPr="00B25D7E" w:rsidRDefault="00122CEE" w:rsidP="00122CEE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Чистый процентный доход</w:t>
            </w:r>
          </w:p>
        </w:tc>
        <w:tc>
          <w:tcPr>
            <w:tcW w:w="904" w:type="dxa"/>
            <w:shd w:val="clear" w:color="auto" w:fill="D6E3BC" w:themeFill="accent3" w:themeFillTint="66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297,2</w:t>
            </w:r>
          </w:p>
        </w:tc>
        <w:tc>
          <w:tcPr>
            <w:tcW w:w="900" w:type="dxa"/>
            <w:shd w:val="clear" w:color="auto" w:fill="D6E3BC" w:themeFill="accent3" w:themeFillTint="66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263,4</w:t>
            </w:r>
          </w:p>
        </w:tc>
        <w:tc>
          <w:tcPr>
            <w:tcW w:w="900" w:type="dxa"/>
            <w:gridSpan w:val="2"/>
            <w:shd w:val="clear" w:color="auto" w:fill="D6E3BC" w:themeFill="accent3" w:themeFillTint="66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274,6</w:t>
            </w:r>
          </w:p>
        </w:tc>
        <w:tc>
          <w:tcPr>
            <w:tcW w:w="1170" w:type="dxa"/>
            <w:gridSpan w:val="2"/>
            <w:shd w:val="clear" w:color="auto" w:fill="D6E3BC" w:themeFill="accent3" w:themeFillTint="66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12,8%</w:t>
            </w:r>
          </w:p>
        </w:tc>
        <w:tc>
          <w:tcPr>
            <w:tcW w:w="1148" w:type="dxa"/>
            <w:shd w:val="clear" w:color="auto" w:fill="D6E3BC" w:themeFill="accent3" w:themeFillTint="66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8,2%</w:t>
            </w:r>
          </w:p>
        </w:tc>
        <w:tc>
          <w:tcPr>
            <w:tcW w:w="1003" w:type="dxa"/>
            <w:shd w:val="clear" w:color="auto" w:fill="D6E3BC" w:themeFill="accent3" w:themeFillTint="66"/>
          </w:tcPr>
          <w:p w:rsidR="00122CEE" w:rsidRPr="00B25D7E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988,0</w:t>
            </w:r>
          </w:p>
        </w:tc>
        <w:tc>
          <w:tcPr>
            <w:tcW w:w="981" w:type="dxa"/>
            <w:shd w:val="clear" w:color="auto" w:fill="D6E3BC" w:themeFill="accent3" w:themeFillTint="66"/>
          </w:tcPr>
          <w:p w:rsidR="00122CEE" w:rsidRPr="00B25D7E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1 019,7</w:t>
            </w:r>
          </w:p>
        </w:tc>
        <w:tc>
          <w:tcPr>
            <w:tcW w:w="1107" w:type="dxa"/>
            <w:gridSpan w:val="2"/>
            <w:shd w:val="clear" w:color="auto" w:fill="D6E3BC" w:themeFill="accent3" w:themeFillTint="66"/>
          </w:tcPr>
          <w:p w:rsidR="00122CEE" w:rsidRPr="00B25D7E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(3,1</w:t>
            </w:r>
            <w:r w:rsidR="00122CEE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%)</w:t>
            </w:r>
          </w:p>
        </w:tc>
      </w:tr>
      <w:tr w:rsidR="00405BFE" w:rsidRPr="00B25D7E" w:rsidTr="006A5880">
        <w:trPr>
          <w:trHeight w:val="360"/>
        </w:trPr>
        <w:tc>
          <w:tcPr>
            <w:tcW w:w="2174" w:type="dxa"/>
          </w:tcPr>
          <w:p w:rsidR="00122CEE" w:rsidRPr="00B25D7E" w:rsidRDefault="00122CEE" w:rsidP="00122CEE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 xml:space="preserve">Чистый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комиссион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ный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доход</w:t>
            </w:r>
            <w:proofErr w:type="spellEnd"/>
          </w:p>
        </w:tc>
        <w:tc>
          <w:tcPr>
            <w:tcW w:w="904" w:type="dxa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95,6</w:t>
            </w:r>
          </w:p>
        </w:tc>
        <w:tc>
          <w:tcPr>
            <w:tcW w:w="900" w:type="dxa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81,9</w:t>
            </w:r>
          </w:p>
        </w:tc>
        <w:tc>
          <w:tcPr>
            <w:tcW w:w="900" w:type="dxa"/>
            <w:gridSpan w:val="2"/>
          </w:tcPr>
          <w:p w:rsidR="00122CEE" w:rsidRPr="00BE0BBD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BE0BBD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80,2</w:t>
            </w:r>
          </w:p>
        </w:tc>
        <w:tc>
          <w:tcPr>
            <w:tcW w:w="1170" w:type="dxa"/>
            <w:gridSpan w:val="2"/>
          </w:tcPr>
          <w:p w:rsidR="00122CEE" w:rsidRPr="00BE0BBD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 w:rsidRPr="00BE0BBD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16,7</w:t>
            </w:r>
            <w:r w:rsidR="00122CEE" w:rsidRPr="00BE0BBD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48" w:type="dxa"/>
          </w:tcPr>
          <w:p w:rsidR="00122CEE" w:rsidRPr="00BD35C2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19,2</w:t>
            </w:r>
            <w:r w:rsidR="00122CEE" w:rsidRPr="00BD35C2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003" w:type="dxa"/>
          </w:tcPr>
          <w:p w:rsidR="00122CEE" w:rsidRPr="00F67FA8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319,0</w:t>
            </w:r>
          </w:p>
        </w:tc>
        <w:tc>
          <w:tcPr>
            <w:tcW w:w="981" w:type="dxa"/>
          </w:tcPr>
          <w:p w:rsidR="00122CEE" w:rsidRPr="00F67FA8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259,2</w:t>
            </w:r>
          </w:p>
        </w:tc>
        <w:tc>
          <w:tcPr>
            <w:tcW w:w="1107" w:type="dxa"/>
            <w:gridSpan w:val="2"/>
          </w:tcPr>
          <w:p w:rsidR="00122CEE" w:rsidRPr="00B25D7E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23,1</w:t>
            </w:r>
            <w:r w:rsidR="00122CEE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B116C5" w:rsidRPr="00B25D7E" w:rsidTr="006A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  <w:shd w:val="clear" w:color="auto" w:fill="D6E3BC" w:themeFill="accent3" w:themeFillTint="66"/>
          </w:tcPr>
          <w:p w:rsidR="00122CEE" w:rsidRPr="00B25D7E" w:rsidRDefault="00122CEE" w:rsidP="00122CEE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Прочие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доходы</w:t>
            </w:r>
            <w:proofErr w:type="spellEnd"/>
            <w:r w:rsidR="00144731">
              <w:rPr>
                <w:rStyle w:val="af5"/>
                <w:rFonts w:ascii="Tahoma" w:hAnsi="Tahoma" w:cs="Tahoma"/>
                <w:bCs/>
                <w:color w:val="666666"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904" w:type="dxa"/>
            <w:shd w:val="clear" w:color="auto" w:fill="D6E3BC" w:themeFill="accent3" w:themeFillTint="66"/>
          </w:tcPr>
          <w:p w:rsidR="00122CEE" w:rsidRPr="00F67FA8" w:rsidRDefault="00F67FA8" w:rsidP="007A39D5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25,</w:t>
            </w:r>
            <w:r w:rsidR="007A39D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8</w:t>
            </w:r>
          </w:p>
        </w:tc>
        <w:tc>
          <w:tcPr>
            <w:tcW w:w="900" w:type="dxa"/>
            <w:shd w:val="clear" w:color="auto" w:fill="D6E3BC" w:themeFill="accent3" w:themeFillTint="66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22,2</w:t>
            </w:r>
          </w:p>
        </w:tc>
        <w:tc>
          <w:tcPr>
            <w:tcW w:w="900" w:type="dxa"/>
            <w:gridSpan w:val="2"/>
            <w:shd w:val="clear" w:color="auto" w:fill="D6E3BC" w:themeFill="accent3" w:themeFillTint="66"/>
          </w:tcPr>
          <w:p w:rsidR="00122CEE" w:rsidRPr="00F67FA8" w:rsidRDefault="006012BA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(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-3,8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)</w:t>
            </w:r>
          </w:p>
        </w:tc>
        <w:tc>
          <w:tcPr>
            <w:tcW w:w="1170" w:type="dxa"/>
            <w:gridSpan w:val="2"/>
            <w:shd w:val="clear" w:color="auto" w:fill="D6E3BC" w:themeFill="accent3" w:themeFillTint="66"/>
          </w:tcPr>
          <w:p w:rsidR="00122CEE" w:rsidRPr="007A39D5" w:rsidRDefault="007A39D5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16,2%</w:t>
            </w:r>
          </w:p>
        </w:tc>
        <w:tc>
          <w:tcPr>
            <w:tcW w:w="1148" w:type="dxa"/>
            <w:shd w:val="clear" w:color="auto" w:fill="D6E3BC" w:themeFill="accent3" w:themeFillTint="66"/>
          </w:tcPr>
          <w:p w:rsidR="00122CEE" w:rsidRPr="00B367A2" w:rsidRDefault="00B367A2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--</w:t>
            </w:r>
          </w:p>
        </w:tc>
        <w:tc>
          <w:tcPr>
            <w:tcW w:w="1003" w:type="dxa"/>
            <w:shd w:val="clear" w:color="auto" w:fill="D6E3BC" w:themeFill="accent3" w:themeFillTint="66"/>
          </w:tcPr>
          <w:p w:rsidR="00122CEE" w:rsidRPr="00F67FA8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122,8</w:t>
            </w:r>
          </w:p>
        </w:tc>
        <w:tc>
          <w:tcPr>
            <w:tcW w:w="981" w:type="dxa"/>
            <w:shd w:val="clear" w:color="auto" w:fill="D6E3BC" w:themeFill="accent3" w:themeFillTint="66"/>
          </w:tcPr>
          <w:p w:rsidR="00122CEE" w:rsidRPr="00F67FA8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21,8</w:t>
            </w:r>
          </w:p>
        </w:tc>
        <w:tc>
          <w:tcPr>
            <w:tcW w:w="1107" w:type="dxa"/>
            <w:gridSpan w:val="2"/>
            <w:shd w:val="clear" w:color="auto" w:fill="D6E3BC" w:themeFill="accent3" w:themeFillTint="66"/>
          </w:tcPr>
          <w:p w:rsidR="00122CEE" w:rsidRPr="00B25D7E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463,3</w:t>
            </w:r>
            <w:r w:rsidR="00122CEE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405BFE" w:rsidRPr="00B25D7E" w:rsidTr="006A5880">
        <w:trPr>
          <w:trHeight w:val="360"/>
        </w:trPr>
        <w:tc>
          <w:tcPr>
            <w:tcW w:w="2174" w:type="dxa"/>
          </w:tcPr>
          <w:p w:rsidR="00122CEE" w:rsidRPr="00B25D7E" w:rsidRDefault="00122CEE" w:rsidP="00122CEE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Доходы</w:t>
            </w:r>
            <w:proofErr w:type="spellEnd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всего</w:t>
            </w:r>
            <w:proofErr w:type="spellEnd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04" w:type="dxa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418,</w:t>
            </w:r>
            <w:r w:rsidR="007A39D5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367,5</w:t>
            </w:r>
          </w:p>
        </w:tc>
        <w:tc>
          <w:tcPr>
            <w:tcW w:w="900" w:type="dxa"/>
            <w:gridSpan w:val="2"/>
          </w:tcPr>
          <w:p w:rsidR="00122CEE" w:rsidRPr="00F67FA8" w:rsidRDefault="00F67FA8" w:rsidP="004B0A71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351,0</w:t>
            </w:r>
          </w:p>
        </w:tc>
        <w:tc>
          <w:tcPr>
            <w:tcW w:w="1170" w:type="dxa"/>
            <w:gridSpan w:val="2"/>
          </w:tcPr>
          <w:p w:rsidR="00122CEE" w:rsidRPr="00BD35C2" w:rsidRDefault="007A39D5" w:rsidP="004B0A71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13,9</w:t>
            </w:r>
            <w:r w:rsidR="00122CEE" w:rsidRPr="00BD35C2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48" w:type="dxa"/>
          </w:tcPr>
          <w:p w:rsidR="00122CEE" w:rsidRPr="00BD35C2" w:rsidRDefault="00B367A2" w:rsidP="004B0A71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19,3</w:t>
            </w:r>
            <w:r w:rsidR="00122CEE" w:rsidRPr="00BD35C2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003" w:type="dxa"/>
          </w:tcPr>
          <w:p w:rsidR="00122CEE" w:rsidRPr="00F67FA8" w:rsidRDefault="00F67FA8" w:rsidP="00122CEE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1 429,8</w:t>
            </w:r>
          </w:p>
        </w:tc>
        <w:tc>
          <w:tcPr>
            <w:tcW w:w="981" w:type="dxa"/>
          </w:tcPr>
          <w:p w:rsidR="00122CEE" w:rsidRPr="00F67FA8" w:rsidRDefault="00F67FA8" w:rsidP="00122CEE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1 300,7</w:t>
            </w:r>
          </w:p>
        </w:tc>
        <w:tc>
          <w:tcPr>
            <w:tcW w:w="1107" w:type="dxa"/>
            <w:gridSpan w:val="2"/>
          </w:tcPr>
          <w:p w:rsidR="00122CEE" w:rsidRPr="00B25D7E" w:rsidRDefault="00F67FA8" w:rsidP="00122CEE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9,9</w:t>
            </w:r>
            <w:r w:rsidR="00122CEE" w:rsidRPr="00B25D7E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B116C5" w:rsidRPr="00B25D7E" w:rsidTr="006A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  <w:shd w:val="clear" w:color="auto" w:fill="D6E3BC" w:themeFill="accent3" w:themeFillTint="66"/>
          </w:tcPr>
          <w:p w:rsidR="00122CEE" w:rsidRPr="006012BA" w:rsidRDefault="006012BA" w:rsidP="00122CEE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Чистый р</w:t>
            </w:r>
            <w:r w:rsidR="00122CEE" w:rsidRPr="006012BA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асход от создания резерва</w:t>
            </w:r>
            <w:r w:rsidR="009D2F5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 xml:space="preserve"> под обесценение долговых финансовых активов </w:t>
            </w:r>
          </w:p>
        </w:tc>
        <w:tc>
          <w:tcPr>
            <w:tcW w:w="904" w:type="dxa"/>
            <w:shd w:val="clear" w:color="auto" w:fill="D6E3BC" w:themeFill="accent3" w:themeFillTint="66"/>
          </w:tcPr>
          <w:p w:rsidR="00122CEE" w:rsidRPr="00BD35C2" w:rsidRDefault="001A6A7D" w:rsidP="00F67FA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112,7</w:t>
            </w:r>
            <w:r w:rsidR="00122CEE"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900" w:type="dxa"/>
            <w:shd w:val="clear" w:color="auto" w:fill="D6E3BC" w:themeFill="accent3" w:themeFillTint="66"/>
          </w:tcPr>
          <w:p w:rsidR="00122CEE" w:rsidRPr="00BD35C2" w:rsidRDefault="001A6A7D" w:rsidP="00F67FA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130,1</w:t>
            </w:r>
            <w:r w:rsidR="00122CEE"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900" w:type="dxa"/>
            <w:gridSpan w:val="2"/>
            <w:shd w:val="clear" w:color="auto" w:fill="D6E3BC" w:themeFill="accent3" w:themeFillTint="66"/>
          </w:tcPr>
          <w:p w:rsidR="00122CEE" w:rsidRPr="00BD35C2" w:rsidRDefault="001A6A7D" w:rsidP="00F67FA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(10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6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0</w:t>
            </w:r>
            <w:r w:rsidR="00122CEE"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1170" w:type="dxa"/>
            <w:gridSpan w:val="2"/>
            <w:shd w:val="clear" w:color="auto" w:fill="D6E3BC" w:themeFill="accent3" w:themeFillTint="66"/>
          </w:tcPr>
          <w:p w:rsidR="00122CEE" w:rsidRPr="00F67FA8" w:rsidRDefault="00F67FA8" w:rsidP="00F67FA8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(13,4</w:t>
            </w:r>
            <w:r w:rsidR="00122CEE" w:rsidRPr="00BD35C2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)</w:t>
            </w:r>
          </w:p>
        </w:tc>
        <w:tc>
          <w:tcPr>
            <w:tcW w:w="1148" w:type="dxa"/>
            <w:shd w:val="clear" w:color="auto" w:fill="D6E3BC" w:themeFill="accent3" w:themeFillTint="66"/>
          </w:tcPr>
          <w:p w:rsidR="00122CEE" w:rsidRPr="00BD35C2" w:rsidRDefault="00F67FA8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6,3</w:t>
            </w:r>
            <w:r w:rsidR="00122CEE" w:rsidRPr="00BD35C2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003" w:type="dxa"/>
            <w:shd w:val="clear" w:color="auto" w:fill="D6E3BC" w:themeFill="accent3" w:themeFillTint="66"/>
          </w:tcPr>
          <w:p w:rsidR="00122CEE" w:rsidRPr="00B25D7E" w:rsidRDefault="001A6A7D" w:rsidP="00F67FA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475,2</w:t>
            </w:r>
            <w:r w:rsidR="00122CEE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981" w:type="dxa"/>
            <w:shd w:val="clear" w:color="auto" w:fill="D6E3BC" w:themeFill="accent3" w:themeFillTint="66"/>
          </w:tcPr>
          <w:p w:rsidR="00122CEE" w:rsidRPr="00B25D7E" w:rsidRDefault="001A6A7D" w:rsidP="00F67FA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361,4</w:t>
            </w:r>
            <w:r w:rsidR="00122CEE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1107" w:type="dxa"/>
            <w:gridSpan w:val="2"/>
            <w:shd w:val="clear" w:color="auto" w:fill="D6E3BC" w:themeFill="accent3" w:themeFillTint="66"/>
          </w:tcPr>
          <w:p w:rsidR="00122CEE" w:rsidRPr="00B25D7E" w:rsidRDefault="00F67FA8" w:rsidP="00122CEE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31,5</w:t>
            </w:r>
            <w:r w:rsidR="00122CEE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405BFE" w:rsidRPr="00B25D7E" w:rsidTr="006A5880">
        <w:trPr>
          <w:trHeight w:val="360"/>
        </w:trPr>
        <w:tc>
          <w:tcPr>
            <w:tcW w:w="2174" w:type="dxa"/>
          </w:tcPr>
          <w:p w:rsidR="00122CEE" w:rsidRPr="00B25D7E" w:rsidRDefault="00122CEE" w:rsidP="00122CEE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Операционные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расходы</w:t>
            </w:r>
            <w:proofErr w:type="spellEnd"/>
          </w:p>
        </w:tc>
        <w:tc>
          <w:tcPr>
            <w:tcW w:w="904" w:type="dxa"/>
          </w:tcPr>
          <w:p w:rsidR="00122CEE" w:rsidRPr="00BD35C2" w:rsidRDefault="001A6A7D" w:rsidP="00F67FA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191,7</w:t>
            </w:r>
            <w:r w:rsidR="00122CEE"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900" w:type="dxa"/>
          </w:tcPr>
          <w:p w:rsidR="00122CEE" w:rsidRPr="00BD35C2" w:rsidRDefault="001A6A7D" w:rsidP="00F67FA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(14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5,4</w:t>
            </w:r>
            <w:r w:rsidR="00122CEE"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900" w:type="dxa"/>
            <w:gridSpan w:val="2"/>
          </w:tcPr>
          <w:p w:rsidR="00122CEE" w:rsidRPr="00BD35C2" w:rsidRDefault="001A6A7D" w:rsidP="00F67FA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</w:t>
            </w:r>
            <w:r w:rsidR="00F67FA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177,0</w:t>
            </w:r>
            <w:r w:rsidR="00122CEE"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1170" w:type="dxa"/>
            <w:gridSpan w:val="2"/>
          </w:tcPr>
          <w:p w:rsidR="00122CEE" w:rsidRPr="000C7206" w:rsidRDefault="000C7206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31,8%</w:t>
            </w:r>
          </w:p>
        </w:tc>
        <w:tc>
          <w:tcPr>
            <w:tcW w:w="1148" w:type="dxa"/>
          </w:tcPr>
          <w:p w:rsidR="00122CEE" w:rsidRPr="00BD35C2" w:rsidRDefault="000C7206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8,3</w:t>
            </w:r>
            <w:r w:rsidR="00122CEE" w:rsidRPr="00BD35C2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003" w:type="dxa"/>
          </w:tcPr>
          <w:p w:rsidR="00122CEE" w:rsidRPr="00B25D7E" w:rsidRDefault="001A6A7D" w:rsidP="000C720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</w:t>
            </w:r>
            <w:r w:rsidR="000C7206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623,4</w:t>
            </w:r>
            <w:r w:rsidR="00122CEE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981" w:type="dxa"/>
          </w:tcPr>
          <w:p w:rsidR="00122CEE" w:rsidRPr="00B25D7E" w:rsidRDefault="001A6A7D" w:rsidP="000C720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</w:t>
            </w:r>
            <w:r w:rsidR="000C7206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565,1</w:t>
            </w:r>
            <w:r w:rsidR="00122CEE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1107" w:type="dxa"/>
            <w:gridSpan w:val="2"/>
          </w:tcPr>
          <w:p w:rsidR="00122CEE" w:rsidRPr="00B25D7E" w:rsidRDefault="000C7206" w:rsidP="00122CEE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10,3</w:t>
            </w:r>
            <w:r w:rsidR="00122CEE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B116C5" w:rsidRPr="00B25D7E" w:rsidTr="006A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  <w:shd w:val="clear" w:color="auto" w:fill="D6E3BC" w:themeFill="accent3" w:themeFillTint="66"/>
          </w:tcPr>
          <w:p w:rsidR="00122CEE" w:rsidRPr="00B25D7E" w:rsidRDefault="00122CEE" w:rsidP="00122CEE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Чистая</w:t>
            </w:r>
            <w:proofErr w:type="spellEnd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прибыль</w:t>
            </w:r>
            <w:proofErr w:type="spellEnd"/>
          </w:p>
        </w:tc>
        <w:tc>
          <w:tcPr>
            <w:tcW w:w="904" w:type="dxa"/>
            <w:shd w:val="clear" w:color="auto" w:fill="D6E3BC" w:themeFill="accent3" w:themeFillTint="66"/>
          </w:tcPr>
          <w:p w:rsidR="00122CEE" w:rsidRPr="000C7206" w:rsidRDefault="000C7206" w:rsidP="004B0A71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72,6</w:t>
            </w:r>
          </w:p>
        </w:tc>
        <w:tc>
          <w:tcPr>
            <w:tcW w:w="900" w:type="dxa"/>
            <w:shd w:val="clear" w:color="auto" w:fill="D6E3BC" w:themeFill="accent3" w:themeFillTint="66"/>
          </w:tcPr>
          <w:p w:rsidR="00122CEE" w:rsidRPr="000C7206" w:rsidRDefault="000C7206" w:rsidP="004B0A71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65,1</w:t>
            </w:r>
          </w:p>
        </w:tc>
        <w:tc>
          <w:tcPr>
            <w:tcW w:w="900" w:type="dxa"/>
            <w:gridSpan w:val="2"/>
            <w:shd w:val="clear" w:color="auto" w:fill="D6E3BC" w:themeFill="accent3" w:themeFillTint="66"/>
          </w:tcPr>
          <w:p w:rsidR="00122CEE" w:rsidRPr="000C7206" w:rsidRDefault="000C7206" w:rsidP="004B0A71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49,0</w:t>
            </w:r>
          </w:p>
        </w:tc>
        <w:tc>
          <w:tcPr>
            <w:tcW w:w="1170" w:type="dxa"/>
            <w:gridSpan w:val="2"/>
            <w:shd w:val="clear" w:color="auto" w:fill="D6E3BC" w:themeFill="accent3" w:themeFillTint="66"/>
          </w:tcPr>
          <w:p w:rsidR="00122CEE" w:rsidRPr="00F22F45" w:rsidRDefault="000C7206" w:rsidP="004B0A71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11,5</w:t>
            </w:r>
            <w:r w:rsidR="00122CEE" w:rsidRPr="00F22F45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48" w:type="dxa"/>
            <w:shd w:val="clear" w:color="auto" w:fill="D6E3BC" w:themeFill="accent3" w:themeFillTint="66"/>
          </w:tcPr>
          <w:p w:rsidR="00122CEE" w:rsidRPr="00BD35C2" w:rsidRDefault="000C7206" w:rsidP="000C720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48,2</w:t>
            </w:r>
            <w:r w:rsidR="00122CEE" w:rsidRPr="00BD35C2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003" w:type="dxa"/>
            <w:shd w:val="clear" w:color="auto" w:fill="D6E3BC" w:themeFill="accent3" w:themeFillTint="66"/>
          </w:tcPr>
          <w:p w:rsidR="00122CEE" w:rsidRPr="000C7206" w:rsidRDefault="000C7206" w:rsidP="00122CEE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222,9</w:t>
            </w:r>
          </w:p>
        </w:tc>
        <w:tc>
          <w:tcPr>
            <w:tcW w:w="981" w:type="dxa"/>
            <w:shd w:val="clear" w:color="auto" w:fill="D6E3BC" w:themeFill="accent3" w:themeFillTint="66"/>
          </w:tcPr>
          <w:p w:rsidR="00122CEE" w:rsidRPr="000C7206" w:rsidRDefault="000C7206" w:rsidP="00122CEE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290,3</w:t>
            </w:r>
          </w:p>
        </w:tc>
        <w:tc>
          <w:tcPr>
            <w:tcW w:w="1107" w:type="dxa"/>
            <w:gridSpan w:val="2"/>
            <w:shd w:val="clear" w:color="auto" w:fill="D6E3BC" w:themeFill="accent3" w:themeFillTint="66"/>
          </w:tcPr>
          <w:p w:rsidR="00122CEE" w:rsidRPr="00B25D7E" w:rsidRDefault="001A6A7D" w:rsidP="000C7206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  <w:t>(</w:t>
            </w:r>
            <w:r w:rsidR="000C7206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23</w:t>
            </w:r>
            <w:proofErr w:type="gramStart"/>
            <w:r w:rsidR="000C7206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,2</w:t>
            </w:r>
            <w:proofErr w:type="gramEnd"/>
            <w:r w:rsidR="00122CEE" w:rsidRPr="00B25D7E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  <w:lang w:val="en-US"/>
              </w:rPr>
              <w:t>%)</w:t>
            </w:r>
          </w:p>
        </w:tc>
      </w:tr>
      <w:tr w:rsidR="00405BFE" w:rsidRPr="00B25D7E" w:rsidTr="006A5880">
        <w:trPr>
          <w:trHeight w:val="360"/>
        </w:trPr>
        <w:tc>
          <w:tcPr>
            <w:tcW w:w="2174" w:type="dxa"/>
          </w:tcPr>
          <w:p w:rsidR="00122CEE" w:rsidRPr="00B25D7E" w:rsidRDefault="00122CEE" w:rsidP="00122CEE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Прибыль на обыкновенную акцию, руб.</w:t>
            </w:r>
          </w:p>
        </w:tc>
        <w:tc>
          <w:tcPr>
            <w:tcW w:w="904" w:type="dxa"/>
          </w:tcPr>
          <w:p w:rsidR="00122CEE" w:rsidRPr="00BE0BBD" w:rsidRDefault="00BE0BBD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3,</w:t>
            </w:r>
            <w:r w:rsidR="007A39D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40</w:t>
            </w:r>
          </w:p>
        </w:tc>
        <w:tc>
          <w:tcPr>
            <w:tcW w:w="900" w:type="dxa"/>
          </w:tcPr>
          <w:p w:rsidR="00122CEE" w:rsidRPr="000C7206" w:rsidRDefault="000C7206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3,04</w:t>
            </w:r>
          </w:p>
        </w:tc>
        <w:tc>
          <w:tcPr>
            <w:tcW w:w="900" w:type="dxa"/>
            <w:gridSpan w:val="2"/>
          </w:tcPr>
          <w:p w:rsidR="00122CEE" w:rsidRPr="00BE0BBD" w:rsidRDefault="00BE0BBD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2,</w:t>
            </w:r>
            <w:r w:rsidR="007A39D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32</w:t>
            </w:r>
          </w:p>
        </w:tc>
        <w:tc>
          <w:tcPr>
            <w:tcW w:w="1170" w:type="dxa"/>
            <w:gridSpan w:val="2"/>
          </w:tcPr>
          <w:p w:rsidR="00122CEE" w:rsidRPr="00BE0BBD" w:rsidRDefault="007A39D5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11,8</w:t>
            </w:r>
            <w:r w:rsidR="00BE0BBD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</w:t>
            </w:r>
          </w:p>
        </w:tc>
        <w:tc>
          <w:tcPr>
            <w:tcW w:w="1148" w:type="dxa"/>
          </w:tcPr>
          <w:p w:rsidR="00122CEE" w:rsidRPr="00BE0BBD" w:rsidRDefault="00B367A2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46,6</w:t>
            </w:r>
            <w:r w:rsidR="00BE0BBD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</w:t>
            </w:r>
          </w:p>
        </w:tc>
        <w:tc>
          <w:tcPr>
            <w:tcW w:w="1003" w:type="dxa"/>
          </w:tcPr>
          <w:p w:rsidR="00122CEE" w:rsidRPr="000C7206" w:rsidRDefault="000C7206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10,36</w:t>
            </w:r>
          </w:p>
        </w:tc>
        <w:tc>
          <w:tcPr>
            <w:tcW w:w="981" w:type="dxa"/>
          </w:tcPr>
          <w:p w:rsidR="00122CEE" w:rsidRPr="000C7206" w:rsidRDefault="000C7206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13,45</w:t>
            </w:r>
          </w:p>
        </w:tc>
        <w:tc>
          <w:tcPr>
            <w:tcW w:w="1107" w:type="dxa"/>
            <w:gridSpan w:val="2"/>
          </w:tcPr>
          <w:p w:rsidR="00122CEE" w:rsidRPr="00BE0BBD" w:rsidRDefault="00BE0BBD" w:rsidP="00122CEE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(23,0%)</w:t>
            </w:r>
          </w:p>
        </w:tc>
      </w:tr>
      <w:tr w:rsidR="005D52E0" w:rsidRPr="00B25D7E" w:rsidTr="006A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  <w:shd w:val="clear" w:color="auto" w:fill="D6E3BC" w:themeFill="accent3" w:themeFillTint="66"/>
          </w:tcPr>
          <w:p w:rsidR="00122CEE" w:rsidRPr="00B25D7E" w:rsidRDefault="00122CEE" w:rsidP="00122CEE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Совокупный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доход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за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период</w:t>
            </w:r>
            <w:proofErr w:type="spellEnd"/>
          </w:p>
        </w:tc>
        <w:tc>
          <w:tcPr>
            <w:tcW w:w="904" w:type="dxa"/>
            <w:shd w:val="clear" w:color="auto" w:fill="D6E3BC" w:themeFill="accent3" w:themeFillTint="66"/>
          </w:tcPr>
          <w:p w:rsidR="00122CEE" w:rsidRPr="00BE0BBD" w:rsidRDefault="00BE0BBD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133,7</w:t>
            </w:r>
          </w:p>
        </w:tc>
        <w:tc>
          <w:tcPr>
            <w:tcW w:w="900" w:type="dxa"/>
            <w:shd w:val="clear" w:color="auto" w:fill="D6E3BC" w:themeFill="accent3" w:themeFillTint="66"/>
          </w:tcPr>
          <w:p w:rsidR="00122CEE" w:rsidRPr="000C7206" w:rsidRDefault="000C7206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80,0</w:t>
            </w:r>
          </w:p>
        </w:tc>
        <w:tc>
          <w:tcPr>
            <w:tcW w:w="900" w:type="dxa"/>
            <w:gridSpan w:val="2"/>
            <w:shd w:val="clear" w:color="auto" w:fill="D6E3BC" w:themeFill="accent3" w:themeFillTint="66"/>
          </w:tcPr>
          <w:p w:rsidR="00122CEE" w:rsidRPr="00BE0BBD" w:rsidRDefault="00BE0BBD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6,5</w:t>
            </w:r>
          </w:p>
        </w:tc>
        <w:tc>
          <w:tcPr>
            <w:tcW w:w="1170" w:type="dxa"/>
            <w:gridSpan w:val="2"/>
            <w:shd w:val="clear" w:color="auto" w:fill="D6E3BC" w:themeFill="accent3" w:themeFillTint="66"/>
          </w:tcPr>
          <w:p w:rsidR="00122CEE" w:rsidRPr="00BE0BBD" w:rsidRDefault="00BE0BBD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67,1%</w:t>
            </w:r>
          </w:p>
        </w:tc>
        <w:tc>
          <w:tcPr>
            <w:tcW w:w="1148" w:type="dxa"/>
            <w:shd w:val="clear" w:color="auto" w:fill="D6E3BC" w:themeFill="accent3" w:themeFillTint="66"/>
          </w:tcPr>
          <w:p w:rsidR="00122CEE" w:rsidRPr="006A5880" w:rsidRDefault="006A5880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20,6 раз</w:t>
            </w:r>
          </w:p>
        </w:tc>
        <w:tc>
          <w:tcPr>
            <w:tcW w:w="1003" w:type="dxa"/>
            <w:shd w:val="clear" w:color="auto" w:fill="D6E3BC" w:themeFill="accent3" w:themeFillTint="66"/>
          </w:tcPr>
          <w:p w:rsidR="00122CEE" w:rsidRPr="000C7206" w:rsidRDefault="000C7206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365,8</w:t>
            </w:r>
          </w:p>
        </w:tc>
        <w:tc>
          <w:tcPr>
            <w:tcW w:w="981" w:type="dxa"/>
            <w:shd w:val="clear" w:color="auto" w:fill="D6E3BC" w:themeFill="accent3" w:themeFillTint="66"/>
          </w:tcPr>
          <w:p w:rsidR="00122CEE" w:rsidRPr="000C7206" w:rsidRDefault="000C7206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214,6</w:t>
            </w:r>
          </w:p>
        </w:tc>
        <w:tc>
          <w:tcPr>
            <w:tcW w:w="1107" w:type="dxa"/>
            <w:gridSpan w:val="2"/>
            <w:shd w:val="clear" w:color="auto" w:fill="D6E3BC" w:themeFill="accent3" w:themeFillTint="66"/>
          </w:tcPr>
          <w:p w:rsidR="00122CEE" w:rsidRPr="006A5880" w:rsidRDefault="006A5880" w:rsidP="00122CEE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70,5%</w:t>
            </w:r>
          </w:p>
        </w:tc>
      </w:tr>
      <w:tr w:rsidR="00405BFE" w:rsidRPr="00B25D7E" w:rsidTr="006A5880">
        <w:trPr>
          <w:trHeight w:val="360"/>
        </w:trPr>
        <w:tc>
          <w:tcPr>
            <w:tcW w:w="2174" w:type="dxa"/>
          </w:tcPr>
          <w:p w:rsidR="00122CEE" w:rsidRPr="00B25D7E" w:rsidRDefault="00122CEE" w:rsidP="0092336F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Балансовая стоимость на обыкновенную акцию, руб.</w:t>
            </w:r>
          </w:p>
        </w:tc>
        <w:tc>
          <w:tcPr>
            <w:tcW w:w="904" w:type="dxa"/>
          </w:tcPr>
          <w:p w:rsidR="00122CEE" w:rsidRPr="006A5880" w:rsidRDefault="006A5880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110,0</w:t>
            </w:r>
          </w:p>
        </w:tc>
        <w:tc>
          <w:tcPr>
            <w:tcW w:w="900" w:type="dxa"/>
          </w:tcPr>
          <w:p w:rsidR="00122CEE" w:rsidRPr="00BD35C2" w:rsidRDefault="000C7206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103,</w:t>
            </w:r>
            <w:r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</w:t>
            </w:r>
          </w:p>
        </w:tc>
        <w:tc>
          <w:tcPr>
            <w:tcW w:w="900" w:type="dxa"/>
            <w:gridSpan w:val="2"/>
          </w:tcPr>
          <w:p w:rsidR="00122CEE" w:rsidRPr="006A5880" w:rsidRDefault="006A5880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93,6</w:t>
            </w:r>
          </w:p>
        </w:tc>
        <w:tc>
          <w:tcPr>
            <w:tcW w:w="1170" w:type="dxa"/>
            <w:gridSpan w:val="2"/>
          </w:tcPr>
          <w:p w:rsidR="00122CEE" w:rsidRPr="000C7206" w:rsidRDefault="006A5880" w:rsidP="000C720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5,9%</w:t>
            </w:r>
          </w:p>
        </w:tc>
        <w:tc>
          <w:tcPr>
            <w:tcW w:w="1148" w:type="dxa"/>
          </w:tcPr>
          <w:p w:rsidR="00122CEE" w:rsidRPr="006A5880" w:rsidRDefault="006A5880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17,5%</w:t>
            </w:r>
          </w:p>
        </w:tc>
        <w:tc>
          <w:tcPr>
            <w:tcW w:w="1003" w:type="dxa"/>
          </w:tcPr>
          <w:p w:rsidR="00122CEE" w:rsidRPr="006A5880" w:rsidRDefault="006A5880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110,0</w:t>
            </w:r>
          </w:p>
        </w:tc>
        <w:tc>
          <w:tcPr>
            <w:tcW w:w="981" w:type="dxa"/>
          </w:tcPr>
          <w:p w:rsidR="00122CEE" w:rsidRPr="006A5880" w:rsidRDefault="006A5880" w:rsidP="00122CEE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93,6</w:t>
            </w:r>
          </w:p>
        </w:tc>
        <w:tc>
          <w:tcPr>
            <w:tcW w:w="1107" w:type="dxa"/>
            <w:gridSpan w:val="2"/>
          </w:tcPr>
          <w:p w:rsidR="00122CEE" w:rsidRPr="006A5880" w:rsidRDefault="006A5880" w:rsidP="00122CEE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17,5%</w:t>
            </w:r>
          </w:p>
        </w:tc>
      </w:tr>
      <w:tr w:rsidR="007414E5" w:rsidRPr="00B25D7E" w:rsidTr="006A5880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3" w:type="dxa"/>
          <w:trHeight w:val="360"/>
        </w:trPr>
        <w:tc>
          <w:tcPr>
            <w:tcW w:w="4788" w:type="dxa"/>
            <w:gridSpan w:val="4"/>
            <w:shd w:val="clear" w:color="auto" w:fill="D6E3BC" w:themeFill="accent3" w:themeFillTint="66"/>
          </w:tcPr>
          <w:p w:rsidR="007414E5" w:rsidRPr="008C2184" w:rsidRDefault="007414E5" w:rsidP="008C2184">
            <w:pPr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  <w:r w:rsidRPr="008C2184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 xml:space="preserve">Основные финансовые </w:t>
            </w:r>
            <w:r w:rsidR="008C2184" w:rsidRPr="008C2184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 xml:space="preserve">коэффициенты </w:t>
            </w:r>
          </w:p>
        </w:tc>
        <w:tc>
          <w:tcPr>
            <w:tcW w:w="1170" w:type="dxa"/>
            <w:gridSpan w:val="2"/>
            <w:shd w:val="clear" w:color="auto" w:fill="D6E3BC" w:themeFill="accent3" w:themeFillTint="66"/>
          </w:tcPr>
          <w:p w:rsidR="007414E5" w:rsidRPr="00481A59" w:rsidRDefault="007414E5" w:rsidP="004B0A71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</w:p>
        </w:tc>
        <w:tc>
          <w:tcPr>
            <w:tcW w:w="1238" w:type="dxa"/>
            <w:gridSpan w:val="2"/>
            <w:shd w:val="clear" w:color="auto" w:fill="D6E3BC" w:themeFill="accent3" w:themeFillTint="66"/>
          </w:tcPr>
          <w:p w:rsidR="007414E5" w:rsidRPr="00481A59" w:rsidRDefault="007414E5" w:rsidP="004B0A71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D6E3BC" w:themeFill="accent3" w:themeFillTint="66"/>
          </w:tcPr>
          <w:p w:rsidR="007414E5" w:rsidRPr="00481A59" w:rsidRDefault="007414E5" w:rsidP="004B0A71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</w:p>
        </w:tc>
        <w:tc>
          <w:tcPr>
            <w:tcW w:w="981" w:type="dxa"/>
            <w:shd w:val="clear" w:color="auto" w:fill="D6E3BC" w:themeFill="accent3" w:themeFillTint="66"/>
          </w:tcPr>
          <w:p w:rsidR="007414E5" w:rsidRPr="00481A59" w:rsidRDefault="007414E5" w:rsidP="004B0A71">
            <w:pPr>
              <w:jc w:val="right"/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D6E3BC" w:themeFill="accent3" w:themeFillTint="66"/>
          </w:tcPr>
          <w:p w:rsidR="007414E5" w:rsidRPr="00481A59" w:rsidRDefault="007414E5" w:rsidP="004B0A71">
            <w:pPr>
              <w:jc w:val="right"/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</w:pPr>
          </w:p>
        </w:tc>
      </w:tr>
      <w:tr w:rsidR="00481A59" w:rsidRPr="00B25D7E" w:rsidTr="006A5880">
        <w:trPr>
          <w:trHeight w:val="360"/>
        </w:trPr>
        <w:tc>
          <w:tcPr>
            <w:tcW w:w="2174" w:type="dxa"/>
          </w:tcPr>
          <w:p w:rsidR="00430D4B" w:rsidRPr="00BD35C2" w:rsidRDefault="00430D4B" w:rsidP="004B0A71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Return on equity</w:t>
            </w:r>
          </w:p>
        </w:tc>
        <w:tc>
          <w:tcPr>
            <w:tcW w:w="904" w:type="dxa"/>
          </w:tcPr>
          <w:p w:rsidR="00430D4B" w:rsidRPr="000C7206" w:rsidRDefault="007A39D5" w:rsidP="000C7206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12,6</w:t>
            </w:r>
            <w:r w:rsidR="00430D4B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900" w:type="dxa"/>
          </w:tcPr>
          <w:p w:rsidR="00430D4B" w:rsidRPr="00B25D7E" w:rsidRDefault="000C7206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11,8</w:t>
            </w:r>
            <w:r w:rsidR="00430D4B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810" w:type="dxa"/>
          </w:tcPr>
          <w:p w:rsidR="00430D4B" w:rsidRPr="00B25D7E" w:rsidRDefault="000C7206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9,7</w:t>
            </w:r>
            <w:r w:rsidR="00430D4B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70" w:type="dxa"/>
            <w:gridSpan w:val="2"/>
          </w:tcPr>
          <w:p w:rsidR="00430D4B" w:rsidRPr="00B25D7E" w:rsidRDefault="007A39D5" w:rsidP="000C720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0,8</w:t>
            </w:r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</w:p>
        </w:tc>
        <w:tc>
          <w:tcPr>
            <w:tcW w:w="1238" w:type="dxa"/>
            <w:gridSpan w:val="2"/>
          </w:tcPr>
          <w:p w:rsidR="00430D4B" w:rsidRPr="00B25D7E" w:rsidRDefault="00B367A2" w:rsidP="000C7206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2,9</w:t>
            </w:r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</w:p>
        </w:tc>
        <w:tc>
          <w:tcPr>
            <w:tcW w:w="1003" w:type="dxa"/>
          </w:tcPr>
          <w:p w:rsidR="00430D4B" w:rsidRPr="00B25D7E" w:rsidRDefault="002F6441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10,2</w:t>
            </w:r>
            <w:r w:rsidR="00430D4B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981" w:type="dxa"/>
          </w:tcPr>
          <w:p w:rsidR="00430D4B" w:rsidRPr="00B25D7E" w:rsidRDefault="000C7206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14,8</w:t>
            </w:r>
            <w:r w:rsidR="00430D4B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07" w:type="dxa"/>
            <w:gridSpan w:val="2"/>
          </w:tcPr>
          <w:p w:rsidR="00430D4B" w:rsidRPr="00B25D7E" w:rsidRDefault="00481A59" w:rsidP="00594479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</w:t>
            </w:r>
            <w:r w:rsidR="000C7206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</w:t>
            </w:r>
            <w:proofErr w:type="gramStart"/>
            <w:r w:rsidR="000C7206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,</w:t>
            </w:r>
            <w:r w:rsidR="00594479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6</w:t>
            </w:r>
            <w:proofErr w:type="gramEnd"/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 xml:space="preserve"> </w:t>
            </w:r>
            <w:proofErr w:type="spellStart"/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п.п</w:t>
            </w:r>
            <w:proofErr w:type="spellEnd"/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.</w:t>
            </w:r>
            <w:r w:rsidR="00430D4B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)</w:t>
            </w:r>
          </w:p>
        </w:tc>
      </w:tr>
      <w:tr w:rsidR="000A3FEA" w:rsidRPr="00B25D7E" w:rsidTr="006A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  <w:shd w:val="clear" w:color="auto" w:fill="D6E3BC" w:themeFill="accent3" w:themeFillTint="66"/>
          </w:tcPr>
          <w:p w:rsidR="000A3FEA" w:rsidRPr="00BD35C2" w:rsidRDefault="000A3FEA" w:rsidP="000A3FEA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Return on assets</w:t>
            </w:r>
          </w:p>
        </w:tc>
        <w:tc>
          <w:tcPr>
            <w:tcW w:w="904" w:type="dxa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1%</w:t>
            </w:r>
          </w:p>
        </w:tc>
        <w:tc>
          <w:tcPr>
            <w:tcW w:w="900" w:type="dxa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1%</w:t>
            </w:r>
          </w:p>
        </w:tc>
        <w:tc>
          <w:tcPr>
            <w:tcW w:w="810" w:type="dxa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0,9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70" w:type="dxa"/>
            <w:gridSpan w:val="2"/>
            <w:shd w:val="clear" w:color="auto" w:fill="D6E3BC" w:themeFill="accent3" w:themeFillTint="66"/>
          </w:tcPr>
          <w:p w:rsidR="000A3FEA" w:rsidRPr="000A3FEA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--</w:t>
            </w:r>
          </w:p>
        </w:tc>
        <w:tc>
          <w:tcPr>
            <w:tcW w:w="1238" w:type="dxa"/>
            <w:gridSpan w:val="2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0,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</w:t>
            </w:r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</w:p>
        </w:tc>
        <w:tc>
          <w:tcPr>
            <w:tcW w:w="1003" w:type="dxa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0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981" w:type="dxa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07" w:type="dxa"/>
            <w:gridSpan w:val="2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(0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5</w:t>
            </w:r>
            <w:proofErr w:type="gram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.)</w:t>
            </w:r>
          </w:p>
        </w:tc>
      </w:tr>
      <w:tr w:rsidR="000A3FEA" w:rsidRPr="00B25D7E" w:rsidTr="006A5880">
        <w:trPr>
          <w:trHeight w:val="360"/>
        </w:trPr>
        <w:tc>
          <w:tcPr>
            <w:tcW w:w="2174" w:type="dxa"/>
          </w:tcPr>
          <w:p w:rsidR="000A3FEA" w:rsidRPr="00BD35C2" w:rsidRDefault="000A3FEA" w:rsidP="000A3FEA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Net interest margin </w:t>
            </w:r>
          </w:p>
        </w:tc>
        <w:tc>
          <w:tcPr>
            <w:tcW w:w="904" w:type="dxa"/>
          </w:tcPr>
          <w:p w:rsidR="000A3FEA" w:rsidRPr="00B25D7E" w:rsidRDefault="000A3FEA" w:rsidP="000422C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422C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900" w:type="dxa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7%</w:t>
            </w:r>
          </w:p>
        </w:tc>
        <w:tc>
          <w:tcPr>
            <w:tcW w:w="810" w:type="dxa"/>
          </w:tcPr>
          <w:p w:rsidR="000A3FEA" w:rsidRPr="00B25D7E" w:rsidRDefault="000A3FEA" w:rsidP="000422C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422C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70" w:type="dxa"/>
            <w:gridSpan w:val="2"/>
          </w:tcPr>
          <w:p w:rsidR="000A3FEA" w:rsidRPr="00B25D7E" w:rsidRDefault="000A3FEA" w:rsidP="000422C8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0,</w:t>
            </w:r>
            <w:r w:rsidR="000422C8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</w:t>
            </w:r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</w:p>
        </w:tc>
        <w:tc>
          <w:tcPr>
            <w:tcW w:w="1238" w:type="dxa"/>
            <w:gridSpan w:val="2"/>
          </w:tcPr>
          <w:p w:rsidR="000A3FEA" w:rsidRPr="00B25D7E" w:rsidRDefault="000A3FEA" w:rsidP="000422C8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(0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</w:t>
            </w:r>
            <w:r w:rsidR="000422C8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5</w:t>
            </w:r>
            <w:proofErr w:type="gram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.)</w:t>
            </w:r>
          </w:p>
        </w:tc>
        <w:tc>
          <w:tcPr>
            <w:tcW w:w="1003" w:type="dxa"/>
          </w:tcPr>
          <w:p w:rsidR="000A3FEA" w:rsidRPr="00B25D7E" w:rsidRDefault="000A3FEA" w:rsidP="000422C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422C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981" w:type="dxa"/>
          </w:tcPr>
          <w:p w:rsidR="000A3FEA" w:rsidRPr="00B25D7E" w:rsidRDefault="000A3FEA" w:rsidP="000422C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422C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6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07" w:type="dxa"/>
            <w:gridSpan w:val="2"/>
          </w:tcPr>
          <w:p w:rsidR="000A3FEA" w:rsidRPr="00B25D7E" w:rsidRDefault="000A3FEA" w:rsidP="000422C8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(1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</w:t>
            </w:r>
            <w:r w:rsidR="000422C8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</w:t>
            </w:r>
            <w:proofErr w:type="gram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.)</w:t>
            </w:r>
          </w:p>
        </w:tc>
      </w:tr>
      <w:tr w:rsidR="000A3FEA" w:rsidRPr="00B25D7E" w:rsidTr="006A5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tcW w:w="2174" w:type="dxa"/>
            <w:shd w:val="clear" w:color="auto" w:fill="D6E3BC" w:themeFill="accent3" w:themeFillTint="66"/>
          </w:tcPr>
          <w:p w:rsidR="000A3FEA" w:rsidRPr="00BD35C2" w:rsidRDefault="000A3FEA" w:rsidP="000A3FEA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Cost of risk </w:t>
            </w:r>
          </w:p>
        </w:tc>
        <w:tc>
          <w:tcPr>
            <w:tcW w:w="904" w:type="dxa"/>
            <w:shd w:val="clear" w:color="auto" w:fill="D6E3BC" w:themeFill="accent3" w:themeFillTint="66"/>
          </w:tcPr>
          <w:p w:rsidR="000A3FEA" w:rsidRPr="00B25D7E" w:rsidRDefault="000422C8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2,3</w:t>
            </w:r>
            <w:r w:rsidR="000A3FEA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900" w:type="dxa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8%</w:t>
            </w:r>
          </w:p>
        </w:tc>
        <w:tc>
          <w:tcPr>
            <w:tcW w:w="810" w:type="dxa"/>
            <w:shd w:val="clear" w:color="auto" w:fill="D6E3BC" w:themeFill="accent3" w:themeFillTint="66"/>
          </w:tcPr>
          <w:p w:rsidR="000A3FEA" w:rsidRPr="00B25D7E" w:rsidRDefault="000A3FEA" w:rsidP="000422C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422C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70" w:type="dxa"/>
            <w:gridSpan w:val="2"/>
            <w:shd w:val="clear" w:color="auto" w:fill="D6E3BC" w:themeFill="accent3" w:themeFillTint="66"/>
          </w:tcPr>
          <w:p w:rsidR="000A3FEA" w:rsidRPr="007A39D5" w:rsidRDefault="007A39D5" w:rsidP="000422C8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</w:t>
            </w:r>
            <w:r w:rsidR="000A3FEA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0,</w:t>
            </w:r>
            <w:r w:rsidR="000422C8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5</w:t>
            </w:r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)</w:t>
            </w:r>
          </w:p>
        </w:tc>
        <w:tc>
          <w:tcPr>
            <w:tcW w:w="1238" w:type="dxa"/>
            <w:gridSpan w:val="2"/>
            <w:shd w:val="clear" w:color="auto" w:fill="D6E3BC" w:themeFill="accent3" w:themeFillTint="66"/>
          </w:tcPr>
          <w:p w:rsidR="000A3FEA" w:rsidRPr="000422C8" w:rsidRDefault="000422C8" w:rsidP="000A3FEA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</w:t>
            </w:r>
            <w:r w:rsidR="000A3FEA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0,</w:t>
            </w:r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1 </w:t>
            </w:r>
            <w:proofErr w:type="spellStart"/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)</w:t>
            </w:r>
          </w:p>
        </w:tc>
        <w:tc>
          <w:tcPr>
            <w:tcW w:w="1003" w:type="dxa"/>
            <w:shd w:val="clear" w:color="auto" w:fill="D6E3BC" w:themeFill="accent3" w:themeFillTint="66"/>
          </w:tcPr>
          <w:p w:rsidR="000A3FEA" w:rsidRPr="00B25D7E" w:rsidRDefault="000A3FEA" w:rsidP="000422C8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422C8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5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981" w:type="dxa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3%</w:t>
            </w:r>
          </w:p>
        </w:tc>
        <w:tc>
          <w:tcPr>
            <w:tcW w:w="1107" w:type="dxa"/>
            <w:gridSpan w:val="2"/>
            <w:shd w:val="clear" w:color="auto" w:fill="D6E3BC" w:themeFill="accent3" w:themeFillTint="66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0,</w:t>
            </w:r>
            <w:r w:rsidR="000422C8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</w:t>
            </w:r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</w:p>
        </w:tc>
      </w:tr>
      <w:tr w:rsidR="000A3FEA" w:rsidRPr="00B25D7E" w:rsidTr="006A5880">
        <w:trPr>
          <w:trHeight w:val="360"/>
        </w:trPr>
        <w:tc>
          <w:tcPr>
            <w:tcW w:w="2174" w:type="dxa"/>
          </w:tcPr>
          <w:p w:rsidR="000A3FEA" w:rsidRPr="00BD35C2" w:rsidRDefault="000A3FEA" w:rsidP="000A3FEA">
            <w:pP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D35C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Cost-to-income ratio</w:t>
            </w:r>
          </w:p>
        </w:tc>
        <w:tc>
          <w:tcPr>
            <w:tcW w:w="904" w:type="dxa"/>
          </w:tcPr>
          <w:p w:rsidR="000A3FEA" w:rsidRPr="00B25D7E" w:rsidRDefault="000422C8" w:rsidP="007A39D5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45,</w:t>
            </w:r>
            <w:r w:rsidR="007A39D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8</w:t>
            </w:r>
            <w:r w:rsidR="000A3FEA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900" w:type="dxa"/>
          </w:tcPr>
          <w:p w:rsidR="000A3FEA" w:rsidRPr="00B25D7E" w:rsidRDefault="000A3FEA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39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6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810" w:type="dxa"/>
          </w:tcPr>
          <w:p w:rsidR="000A3FEA" w:rsidRPr="00B25D7E" w:rsidRDefault="000422C8" w:rsidP="000A3FEA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5</w:t>
            </w:r>
            <w:r w:rsidR="000A3FEA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0</w:t>
            </w:r>
            <w:r w:rsidR="000A3FEA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6012BA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</w:t>
            </w:r>
            <w:r w:rsidR="000A3FEA"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70" w:type="dxa"/>
            <w:gridSpan w:val="2"/>
          </w:tcPr>
          <w:p w:rsidR="000A3FEA" w:rsidRPr="00B25D7E" w:rsidRDefault="004B0A71" w:rsidP="007A39D5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6,</w:t>
            </w:r>
            <w:r w:rsidR="007A39D5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</w:t>
            </w:r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</w:p>
        </w:tc>
        <w:tc>
          <w:tcPr>
            <w:tcW w:w="1238" w:type="dxa"/>
            <w:gridSpan w:val="2"/>
          </w:tcPr>
          <w:p w:rsidR="000A3FEA" w:rsidRPr="00B25D7E" w:rsidRDefault="000A3FEA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</w:t>
            </w:r>
            <w:r w:rsidR="004B0A71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</w:t>
            </w:r>
            <w:proofErr w:type="gramStart"/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</w:t>
            </w:r>
            <w:r w:rsidR="00B367A2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6</w:t>
            </w:r>
            <w:proofErr w:type="gram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.)</w:t>
            </w:r>
          </w:p>
        </w:tc>
        <w:tc>
          <w:tcPr>
            <w:tcW w:w="1003" w:type="dxa"/>
          </w:tcPr>
          <w:p w:rsidR="000A3FEA" w:rsidRPr="00B25D7E" w:rsidRDefault="000A3FEA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</w:t>
            </w:r>
            <w:r w:rsidR="004B0A7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4B0A7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6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981" w:type="dxa"/>
          </w:tcPr>
          <w:p w:rsidR="000A3FEA" w:rsidRPr="00B25D7E" w:rsidRDefault="000A3FEA" w:rsidP="004B0A71">
            <w:pPr>
              <w:jc w:val="right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</w:t>
            </w:r>
            <w:r w:rsidR="004B0A7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4B0A7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</w:t>
            </w:r>
            <w:r w:rsidRPr="00B25D7E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107" w:type="dxa"/>
            <w:gridSpan w:val="2"/>
          </w:tcPr>
          <w:p w:rsidR="000A3FEA" w:rsidRPr="00B25D7E" w:rsidRDefault="004B0A71" w:rsidP="004B0A71">
            <w:pPr>
              <w:jc w:val="right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0</w:t>
            </w:r>
            <w:r w:rsidR="000A3FEA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</w:t>
            </w:r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A3FEA" w:rsidRPr="00B25D7E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</w:p>
        </w:tc>
      </w:tr>
    </w:tbl>
    <w:p w:rsidR="00EF1351" w:rsidRDefault="00EF1351" w:rsidP="00BD09A1">
      <w:p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/>
          <w:color w:val="666666"/>
          <w:sz w:val="20"/>
          <w:szCs w:val="20"/>
          <w:lang w:val="en-US"/>
        </w:rPr>
      </w:pPr>
    </w:p>
    <w:p w:rsidR="0089724E" w:rsidRDefault="0089724E" w:rsidP="009F18A7">
      <w:p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 w:rsidRPr="00933C06">
        <w:rPr>
          <w:rStyle w:val="a3"/>
          <w:rFonts w:ascii="Tahoma" w:hAnsi="Tahoma" w:cs="Tahoma"/>
          <w:color w:val="666666"/>
          <w:sz w:val="20"/>
          <w:szCs w:val="20"/>
        </w:rPr>
        <w:t>Чистые процентные доходы</w:t>
      </w:r>
      <w:r w:rsidRPr="0089724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B4689C">
        <w:rPr>
          <w:rStyle w:val="a3"/>
          <w:rFonts w:ascii="Tahoma" w:hAnsi="Tahoma" w:cs="Tahoma"/>
          <w:b w:val="0"/>
          <w:color w:val="666666"/>
          <w:sz w:val="20"/>
          <w:szCs w:val="20"/>
        </w:rPr>
        <w:t>за</w:t>
      </w:r>
      <w:r w:rsidRPr="0089724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4B0A71">
        <w:rPr>
          <w:rStyle w:val="a3"/>
          <w:rFonts w:ascii="Tahoma" w:hAnsi="Tahoma" w:cs="Tahoma"/>
          <w:b w:val="0"/>
          <w:color w:val="666666"/>
          <w:sz w:val="20"/>
          <w:szCs w:val="20"/>
        </w:rPr>
        <w:t>4</w:t>
      </w:r>
      <w:r w:rsidRPr="0089724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квартал</w:t>
      </w:r>
      <w:r w:rsidRPr="0089724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2015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года</w:t>
      </w:r>
      <w:r w:rsidRPr="0089724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составили</w:t>
      </w:r>
      <w:r w:rsidRPr="0089724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Pr="00933C06">
        <w:rPr>
          <w:rStyle w:val="a3"/>
          <w:rFonts w:ascii="Tahoma" w:hAnsi="Tahoma" w:cs="Tahoma"/>
          <w:color w:val="666666"/>
          <w:sz w:val="20"/>
          <w:szCs w:val="20"/>
        </w:rPr>
        <w:t>2</w:t>
      </w:r>
      <w:r w:rsidR="004B0A71">
        <w:rPr>
          <w:rStyle w:val="a3"/>
          <w:rFonts w:ascii="Tahoma" w:hAnsi="Tahoma" w:cs="Tahoma"/>
          <w:color w:val="666666"/>
          <w:sz w:val="20"/>
          <w:szCs w:val="20"/>
        </w:rPr>
        <w:t>97,2</w:t>
      </w:r>
      <w:r w:rsidR="00923D96" w:rsidRPr="00933C06">
        <w:rPr>
          <w:rStyle w:val="a3"/>
          <w:rFonts w:ascii="Tahoma" w:hAnsi="Tahoma" w:cs="Tahoma"/>
          <w:color w:val="666666"/>
          <w:sz w:val="20"/>
          <w:szCs w:val="20"/>
        </w:rPr>
        <w:t xml:space="preserve"> </w:t>
      </w:r>
      <w:r w:rsidRPr="00933C06">
        <w:rPr>
          <w:rStyle w:val="a3"/>
          <w:rFonts w:ascii="Tahoma" w:hAnsi="Tahoma" w:cs="Tahoma"/>
          <w:color w:val="666666"/>
          <w:sz w:val="20"/>
          <w:szCs w:val="20"/>
        </w:rPr>
        <w:t>млрд. руб.</w:t>
      </w:r>
      <w:r w:rsidRPr="0089724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,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прибавив</w:t>
      </w:r>
      <w:r w:rsidR="004B0A71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8</w:t>
      </w:r>
      <w:r w:rsidRPr="0089724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,2% </w:t>
      </w:r>
      <w:r w:rsidR="00B4689C">
        <w:rPr>
          <w:rStyle w:val="a3"/>
          <w:rFonts w:ascii="Tahoma" w:hAnsi="Tahoma" w:cs="Tahoma"/>
          <w:b w:val="0"/>
          <w:color w:val="666666"/>
          <w:sz w:val="20"/>
          <w:szCs w:val="20"/>
        </w:rPr>
        <w:t>относительно аналогичного периода прошлого года</w:t>
      </w:r>
      <w:r w:rsidRPr="0089724E">
        <w:rPr>
          <w:rStyle w:val="a3"/>
          <w:rFonts w:ascii="Tahoma" w:hAnsi="Tahoma" w:cs="Tahoma"/>
          <w:b w:val="0"/>
          <w:color w:val="666666"/>
          <w:sz w:val="20"/>
          <w:szCs w:val="20"/>
        </w:rPr>
        <w:t>:</w:t>
      </w:r>
    </w:p>
    <w:p w:rsidR="00B35FA2" w:rsidRPr="00B25D7E" w:rsidRDefault="00B4689C" w:rsidP="009F18A7">
      <w:pPr>
        <w:pStyle w:val="a6"/>
        <w:numPr>
          <w:ilvl w:val="0"/>
          <w:numId w:val="14"/>
        </w:num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B25D7E">
        <w:rPr>
          <w:rFonts w:ascii="Tahoma" w:hAnsi="Tahoma" w:cs="Tahoma"/>
          <w:color w:val="666666"/>
          <w:sz w:val="20"/>
          <w:szCs w:val="20"/>
        </w:rPr>
        <w:t>Динамика процентных доходов</w:t>
      </w:r>
      <w:r w:rsidR="00F44C5E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D07FBA" w:rsidRPr="00B25D7E">
        <w:rPr>
          <w:rFonts w:ascii="Tahoma" w:hAnsi="Tahoma" w:cs="Tahoma"/>
          <w:color w:val="666666"/>
          <w:sz w:val="20"/>
          <w:szCs w:val="20"/>
        </w:rPr>
        <w:t>(</w:t>
      </w:r>
      <w:r w:rsidR="00933C06" w:rsidRPr="00B25D7E">
        <w:rPr>
          <w:rFonts w:ascii="Tahoma" w:hAnsi="Tahoma" w:cs="Tahoma"/>
          <w:color w:val="666666"/>
          <w:sz w:val="20"/>
          <w:szCs w:val="20"/>
        </w:rPr>
        <w:t xml:space="preserve">рост </w:t>
      </w:r>
      <w:r w:rsidR="004B0A71">
        <w:rPr>
          <w:rFonts w:ascii="Tahoma" w:hAnsi="Tahoma" w:cs="Tahoma"/>
          <w:color w:val="666666"/>
          <w:sz w:val="20"/>
          <w:szCs w:val="20"/>
        </w:rPr>
        <w:t>14,9</w:t>
      </w:r>
      <w:r w:rsidR="00D07FBA" w:rsidRPr="00B25D7E">
        <w:rPr>
          <w:rFonts w:ascii="Tahoma" w:hAnsi="Tahoma" w:cs="Tahoma"/>
          <w:color w:val="666666"/>
          <w:sz w:val="20"/>
          <w:szCs w:val="20"/>
        </w:rPr>
        <w:t>%</w:t>
      </w:r>
      <w:r w:rsidR="00716744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30905" w:rsidRPr="00B25D7E">
        <w:rPr>
          <w:rFonts w:ascii="Tahoma" w:hAnsi="Tahoma" w:cs="Tahoma"/>
          <w:color w:val="666666"/>
          <w:sz w:val="20"/>
          <w:szCs w:val="20"/>
        </w:rPr>
        <w:t xml:space="preserve">до </w:t>
      </w:r>
      <w:r w:rsidR="004B0A71">
        <w:rPr>
          <w:rFonts w:ascii="Tahoma" w:hAnsi="Tahoma" w:cs="Tahoma"/>
          <w:color w:val="666666"/>
          <w:sz w:val="20"/>
          <w:szCs w:val="20"/>
        </w:rPr>
        <w:t>598,9</w:t>
      </w:r>
      <w:r w:rsidR="00923D96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89724E" w:rsidRPr="00B25D7E">
        <w:rPr>
          <w:rFonts w:ascii="Tahoma" w:hAnsi="Tahoma" w:cs="Tahoma"/>
          <w:color w:val="666666"/>
          <w:sz w:val="20"/>
          <w:szCs w:val="20"/>
        </w:rPr>
        <w:t>млрд. руб.</w:t>
      </w:r>
      <w:r w:rsidR="004B0A71">
        <w:rPr>
          <w:rFonts w:ascii="Tahoma" w:hAnsi="Tahoma" w:cs="Tahoma"/>
          <w:color w:val="666666"/>
          <w:sz w:val="20"/>
          <w:szCs w:val="20"/>
        </w:rPr>
        <w:t xml:space="preserve"> по сравнению с 4 кварталом 2014</w:t>
      </w:r>
      <w:r w:rsidR="0089724E" w:rsidRPr="00B25D7E">
        <w:rPr>
          <w:rFonts w:ascii="Tahoma" w:hAnsi="Tahoma" w:cs="Tahoma"/>
          <w:color w:val="666666"/>
          <w:sz w:val="20"/>
          <w:szCs w:val="20"/>
        </w:rPr>
        <w:t>) был</w:t>
      </w:r>
      <w:r w:rsidRPr="00B25D7E">
        <w:rPr>
          <w:rFonts w:ascii="Tahoma" w:hAnsi="Tahoma" w:cs="Tahoma"/>
          <w:color w:val="666666"/>
          <w:sz w:val="20"/>
          <w:szCs w:val="20"/>
        </w:rPr>
        <w:t>а</w:t>
      </w:r>
      <w:r w:rsidR="0089724E" w:rsidRPr="00B25D7E">
        <w:rPr>
          <w:rFonts w:ascii="Tahoma" w:hAnsi="Tahoma" w:cs="Tahoma"/>
          <w:color w:val="666666"/>
          <w:sz w:val="20"/>
          <w:szCs w:val="20"/>
        </w:rPr>
        <w:t xml:space="preserve"> обусловлен</w:t>
      </w:r>
      <w:r w:rsidRPr="00B25D7E">
        <w:rPr>
          <w:rFonts w:ascii="Tahoma" w:hAnsi="Tahoma" w:cs="Tahoma"/>
          <w:color w:val="666666"/>
          <w:sz w:val="20"/>
          <w:szCs w:val="20"/>
        </w:rPr>
        <w:t>а</w:t>
      </w:r>
      <w:r w:rsidR="0089724E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умеренным </w:t>
      </w:r>
      <w:r w:rsidR="00933C06" w:rsidRPr="00B25D7E">
        <w:rPr>
          <w:rFonts w:ascii="Tahoma" w:hAnsi="Tahoma" w:cs="Tahoma"/>
          <w:color w:val="666666"/>
          <w:sz w:val="20"/>
          <w:szCs w:val="20"/>
        </w:rPr>
        <w:t>восстановлением спроса</w:t>
      </w:r>
      <w:r w:rsidR="0089724E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933C06" w:rsidRPr="00B25D7E">
        <w:rPr>
          <w:rFonts w:ascii="Tahoma" w:hAnsi="Tahoma" w:cs="Tahoma"/>
          <w:color w:val="666666"/>
          <w:sz w:val="20"/>
          <w:szCs w:val="20"/>
        </w:rPr>
        <w:t>в</w:t>
      </w:r>
      <w:r w:rsidR="0089724E" w:rsidRPr="00B25D7E">
        <w:rPr>
          <w:rFonts w:ascii="Tahoma" w:hAnsi="Tahoma" w:cs="Tahoma"/>
          <w:color w:val="666666"/>
          <w:sz w:val="20"/>
          <w:szCs w:val="20"/>
        </w:rPr>
        <w:t xml:space="preserve"> корпоративно</w:t>
      </w:r>
      <w:r w:rsidR="00933C06" w:rsidRPr="00B25D7E">
        <w:rPr>
          <w:rFonts w:ascii="Tahoma" w:hAnsi="Tahoma" w:cs="Tahoma"/>
          <w:color w:val="666666"/>
          <w:sz w:val="20"/>
          <w:szCs w:val="20"/>
        </w:rPr>
        <w:t xml:space="preserve">м </w:t>
      </w:r>
      <w:proofErr w:type="gramStart"/>
      <w:r w:rsidR="00933C06" w:rsidRPr="00B25D7E">
        <w:rPr>
          <w:rFonts w:ascii="Tahoma" w:hAnsi="Tahoma" w:cs="Tahoma"/>
          <w:color w:val="666666"/>
          <w:sz w:val="20"/>
          <w:szCs w:val="20"/>
        </w:rPr>
        <w:t>сегменте</w:t>
      </w:r>
      <w:proofErr w:type="gramEnd"/>
      <w:r w:rsidR="0089724E" w:rsidRPr="00B25D7E">
        <w:rPr>
          <w:rFonts w:ascii="Tahoma" w:hAnsi="Tahoma" w:cs="Tahoma"/>
          <w:color w:val="666666"/>
          <w:sz w:val="20"/>
          <w:szCs w:val="20"/>
        </w:rPr>
        <w:t xml:space="preserve"> и </w:t>
      </w:r>
      <w:r w:rsidR="00933C06" w:rsidRPr="00B25D7E">
        <w:rPr>
          <w:rFonts w:ascii="Tahoma" w:hAnsi="Tahoma" w:cs="Tahoma"/>
          <w:color w:val="666666"/>
          <w:sz w:val="20"/>
          <w:szCs w:val="20"/>
        </w:rPr>
        <w:t xml:space="preserve">ростом </w:t>
      </w:r>
      <w:r w:rsidR="0089724E" w:rsidRPr="00B25D7E">
        <w:rPr>
          <w:rFonts w:ascii="Tahoma" w:hAnsi="Tahoma" w:cs="Tahoma"/>
          <w:color w:val="666666"/>
          <w:sz w:val="20"/>
          <w:szCs w:val="20"/>
        </w:rPr>
        <w:t>ипотечно</w:t>
      </w:r>
      <w:r w:rsidR="00933C06" w:rsidRPr="00B25D7E">
        <w:rPr>
          <w:rFonts w:ascii="Tahoma" w:hAnsi="Tahoma" w:cs="Tahoma"/>
          <w:color w:val="666666"/>
          <w:sz w:val="20"/>
          <w:szCs w:val="20"/>
        </w:rPr>
        <w:t>го</w:t>
      </w:r>
      <w:r w:rsidR="0089724E" w:rsidRPr="00B25D7E">
        <w:rPr>
          <w:rFonts w:ascii="Tahoma" w:hAnsi="Tahoma" w:cs="Tahoma"/>
          <w:color w:val="666666"/>
          <w:sz w:val="20"/>
          <w:szCs w:val="20"/>
        </w:rPr>
        <w:t xml:space="preserve"> кредитовани</w:t>
      </w:r>
      <w:r w:rsidR="00933C06" w:rsidRPr="00B25D7E">
        <w:rPr>
          <w:rFonts w:ascii="Tahoma" w:hAnsi="Tahoma" w:cs="Tahoma"/>
          <w:color w:val="666666"/>
          <w:sz w:val="20"/>
          <w:szCs w:val="20"/>
        </w:rPr>
        <w:t>я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. </w:t>
      </w:r>
    </w:p>
    <w:p w:rsidR="00EE67B6" w:rsidRPr="00B25D7E" w:rsidRDefault="008954EA" w:rsidP="009F18A7">
      <w:pPr>
        <w:pStyle w:val="a6"/>
        <w:numPr>
          <w:ilvl w:val="0"/>
          <w:numId w:val="14"/>
        </w:num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proofErr w:type="gramStart"/>
      <w:r w:rsidRPr="00B25D7E">
        <w:rPr>
          <w:rFonts w:ascii="Tahoma" w:hAnsi="Tahoma" w:cs="Tahoma"/>
          <w:color w:val="666666"/>
          <w:sz w:val="20"/>
          <w:szCs w:val="20"/>
        </w:rPr>
        <w:t>Процентные расходы</w:t>
      </w:r>
      <w:r w:rsidR="00923D96" w:rsidRPr="00B25D7E">
        <w:rPr>
          <w:rFonts w:ascii="Tahoma" w:hAnsi="Tahoma" w:cs="Tahoma"/>
          <w:color w:val="666666"/>
          <w:sz w:val="20"/>
          <w:szCs w:val="20"/>
        </w:rPr>
        <w:t>, включая расходы на страхование вкладов,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выросли на </w:t>
      </w:r>
      <w:r w:rsidR="004B0A71">
        <w:rPr>
          <w:rFonts w:ascii="Tahoma" w:hAnsi="Tahoma" w:cs="Tahoma"/>
          <w:color w:val="666666"/>
          <w:sz w:val="20"/>
          <w:szCs w:val="20"/>
        </w:rPr>
        <w:t>2</w:t>
      </w:r>
      <w:r w:rsidR="00923D96" w:rsidRPr="00B25D7E">
        <w:rPr>
          <w:rFonts w:ascii="Tahoma" w:hAnsi="Tahoma" w:cs="Tahoma"/>
          <w:color w:val="666666"/>
          <w:sz w:val="20"/>
          <w:szCs w:val="20"/>
        </w:rPr>
        <w:t>2,</w:t>
      </w:r>
      <w:r w:rsidR="00BE1740">
        <w:rPr>
          <w:rFonts w:ascii="Tahoma" w:hAnsi="Tahoma" w:cs="Tahoma"/>
          <w:color w:val="666666"/>
          <w:sz w:val="20"/>
          <w:szCs w:val="20"/>
        </w:rPr>
        <w:t>3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% в </w:t>
      </w:r>
      <w:r w:rsidR="004B0A71">
        <w:rPr>
          <w:rFonts w:ascii="Tahoma" w:hAnsi="Tahoma" w:cs="Tahoma"/>
          <w:color w:val="666666"/>
          <w:sz w:val="20"/>
          <w:szCs w:val="20"/>
        </w:rPr>
        <w:t>4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квартале</w:t>
      </w:r>
      <w:r w:rsidR="009D2F55">
        <w:rPr>
          <w:rFonts w:ascii="Tahoma" w:hAnsi="Tahoma" w:cs="Tahoma"/>
          <w:color w:val="666666"/>
          <w:sz w:val="20"/>
          <w:szCs w:val="20"/>
        </w:rPr>
        <w:t xml:space="preserve"> 2015 года 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относительно аналогичного периода прошлого года, составив </w:t>
      </w:r>
      <w:r w:rsidR="00BE1740">
        <w:rPr>
          <w:rFonts w:ascii="Tahoma" w:hAnsi="Tahoma" w:cs="Tahoma"/>
          <w:color w:val="666666"/>
          <w:sz w:val="20"/>
          <w:szCs w:val="20"/>
        </w:rPr>
        <w:t>301,7</w:t>
      </w:r>
      <w:r w:rsidR="00170003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744385" w:rsidRPr="00B25D7E">
        <w:rPr>
          <w:rFonts w:ascii="Tahoma" w:hAnsi="Tahoma" w:cs="Tahoma"/>
          <w:color w:val="666666"/>
          <w:sz w:val="20"/>
          <w:szCs w:val="20"/>
        </w:rPr>
        <w:t>млрд. руб.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587956">
        <w:rPr>
          <w:rFonts w:ascii="Tahoma" w:hAnsi="Tahoma" w:cs="Tahoma"/>
          <w:color w:val="666666"/>
          <w:sz w:val="20"/>
          <w:szCs w:val="20"/>
        </w:rPr>
        <w:t xml:space="preserve">Стоимость </w:t>
      </w:r>
      <w:r w:rsidR="0001042B">
        <w:rPr>
          <w:rFonts w:ascii="Tahoma" w:hAnsi="Tahoma" w:cs="Tahoma"/>
          <w:color w:val="666666"/>
          <w:sz w:val="20"/>
          <w:szCs w:val="20"/>
        </w:rPr>
        <w:t xml:space="preserve">пассивов 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снизилась на </w:t>
      </w:r>
      <w:r w:rsidR="004B0A71">
        <w:rPr>
          <w:rFonts w:ascii="Tahoma" w:hAnsi="Tahoma" w:cs="Tahoma"/>
          <w:color w:val="666666"/>
          <w:sz w:val="20"/>
          <w:szCs w:val="20"/>
        </w:rPr>
        <w:t>50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базисных пунктов </w:t>
      </w:r>
      <w:r w:rsidR="00A7165A">
        <w:rPr>
          <w:rFonts w:ascii="Tahoma" w:hAnsi="Tahoma" w:cs="Tahoma"/>
          <w:color w:val="666666"/>
          <w:sz w:val="20"/>
          <w:szCs w:val="20"/>
        </w:rPr>
        <w:t>до 5</w:t>
      </w:r>
      <w:r w:rsidR="00A7165A" w:rsidRPr="003F6FB1">
        <w:rPr>
          <w:rFonts w:ascii="Tahoma" w:hAnsi="Tahoma" w:cs="Tahoma"/>
          <w:color w:val="666666"/>
          <w:sz w:val="20"/>
          <w:szCs w:val="20"/>
        </w:rPr>
        <w:t>,</w:t>
      </w:r>
      <w:r w:rsidR="00A7165A">
        <w:rPr>
          <w:rFonts w:ascii="Tahoma" w:hAnsi="Tahoma" w:cs="Tahoma"/>
          <w:color w:val="666666"/>
          <w:sz w:val="20"/>
          <w:szCs w:val="20"/>
        </w:rPr>
        <w:t>3</w:t>
      </w:r>
      <w:r w:rsidR="00A7165A" w:rsidRPr="00B25D7E">
        <w:rPr>
          <w:rFonts w:ascii="Tahoma" w:hAnsi="Tahoma" w:cs="Tahoma"/>
          <w:color w:val="666666"/>
          <w:sz w:val="20"/>
          <w:szCs w:val="20"/>
        </w:rPr>
        <w:t>%</w:t>
      </w:r>
      <w:r w:rsidR="00A7165A">
        <w:rPr>
          <w:rFonts w:ascii="Tahoma" w:hAnsi="Tahoma" w:cs="Tahoma"/>
          <w:color w:val="666666"/>
          <w:sz w:val="20"/>
          <w:szCs w:val="20"/>
        </w:rPr>
        <w:t xml:space="preserve"> 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в </w:t>
      </w:r>
      <w:r w:rsidR="004B0A71">
        <w:rPr>
          <w:rFonts w:ascii="Tahoma" w:hAnsi="Tahoma" w:cs="Tahoma"/>
          <w:color w:val="666666"/>
          <w:sz w:val="20"/>
          <w:szCs w:val="20"/>
        </w:rPr>
        <w:t>4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квартале 2015 года относительно </w:t>
      </w:r>
      <w:r w:rsidR="00933C06" w:rsidRPr="00B25D7E">
        <w:rPr>
          <w:rFonts w:ascii="Tahoma" w:hAnsi="Tahoma" w:cs="Tahoma"/>
          <w:color w:val="666666"/>
          <w:sz w:val="20"/>
          <w:szCs w:val="20"/>
        </w:rPr>
        <w:t>предыдущего квартала 2015</w:t>
      </w:r>
      <w:r w:rsidR="003F6FB1">
        <w:rPr>
          <w:rFonts w:ascii="Tahoma" w:hAnsi="Tahoma" w:cs="Tahoma"/>
          <w:color w:val="666666"/>
          <w:sz w:val="20"/>
          <w:szCs w:val="20"/>
        </w:rPr>
        <w:t xml:space="preserve"> года </w:t>
      </w:r>
      <w:r w:rsidR="00587956">
        <w:rPr>
          <w:rFonts w:ascii="Tahoma" w:hAnsi="Tahoma" w:cs="Tahoma"/>
          <w:color w:val="666666"/>
          <w:sz w:val="20"/>
          <w:szCs w:val="20"/>
        </w:rPr>
        <w:t xml:space="preserve">за счет снижения стоимости </w:t>
      </w:r>
      <w:r w:rsidR="00E63578">
        <w:rPr>
          <w:rFonts w:ascii="Tahoma" w:hAnsi="Tahoma" w:cs="Tahoma"/>
          <w:color w:val="666666"/>
          <w:sz w:val="20"/>
          <w:szCs w:val="20"/>
        </w:rPr>
        <w:t>корпоративных</w:t>
      </w:r>
      <w:r w:rsidR="00587956">
        <w:rPr>
          <w:rFonts w:ascii="Tahoma" w:hAnsi="Tahoma" w:cs="Tahoma"/>
          <w:color w:val="666666"/>
          <w:sz w:val="20"/>
          <w:szCs w:val="20"/>
        </w:rPr>
        <w:t xml:space="preserve"> и розничных депозитов на </w:t>
      </w:r>
      <w:r w:rsidR="0001042B">
        <w:rPr>
          <w:rFonts w:ascii="Tahoma" w:hAnsi="Tahoma" w:cs="Tahoma"/>
          <w:color w:val="666666"/>
          <w:sz w:val="20"/>
          <w:szCs w:val="20"/>
        </w:rPr>
        <w:t>50 базисных пунктов до 5,0% и на 40</w:t>
      </w:r>
      <w:proofErr w:type="gramEnd"/>
      <w:r w:rsidR="0001042B"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gramStart"/>
      <w:r w:rsidR="0001042B">
        <w:rPr>
          <w:rFonts w:ascii="Tahoma" w:hAnsi="Tahoma" w:cs="Tahoma"/>
          <w:color w:val="666666"/>
          <w:sz w:val="20"/>
          <w:szCs w:val="20"/>
        </w:rPr>
        <w:t>базисных пунктов</w:t>
      </w:r>
      <w:proofErr w:type="gramEnd"/>
      <w:r w:rsidR="0001042B">
        <w:rPr>
          <w:rFonts w:ascii="Tahoma" w:hAnsi="Tahoma" w:cs="Tahoma"/>
          <w:color w:val="666666"/>
          <w:sz w:val="20"/>
          <w:szCs w:val="20"/>
        </w:rPr>
        <w:t xml:space="preserve"> до 6,7% соответственно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. </w:t>
      </w:r>
      <w:r w:rsidR="00B30905" w:rsidRPr="00B25D7E">
        <w:rPr>
          <w:rFonts w:ascii="Tahoma" w:hAnsi="Tahoma" w:cs="Tahoma"/>
          <w:color w:val="666666"/>
          <w:sz w:val="20"/>
          <w:szCs w:val="20"/>
        </w:rPr>
        <w:t xml:space="preserve">Сбербанк продолжил сокращать объемы привлечения средств Банка России, </w:t>
      </w:r>
      <w:r w:rsidR="00977958">
        <w:rPr>
          <w:rFonts w:ascii="Tahoma" w:hAnsi="Tahoma" w:cs="Tahoma"/>
          <w:color w:val="666666"/>
          <w:sz w:val="20"/>
          <w:szCs w:val="20"/>
        </w:rPr>
        <w:t xml:space="preserve">не учитывая субординированный долг от Банка России, </w:t>
      </w:r>
      <w:r w:rsidR="00B30905" w:rsidRPr="00B25D7E">
        <w:rPr>
          <w:rFonts w:ascii="Tahoma" w:hAnsi="Tahoma" w:cs="Tahoma"/>
          <w:color w:val="666666"/>
          <w:sz w:val="20"/>
          <w:szCs w:val="20"/>
        </w:rPr>
        <w:t xml:space="preserve">снизив сумму заимствований на </w:t>
      </w:r>
      <w:r w:rsidR="00FE658E">
        <w:rPr>
          <w:rFonts w:ascii="Tahoma" w:hAnsi="Tahoma" w:cs="Tahoma"/>
          <w:color w:val="666666"/>
          <w:sz w:val="20"/>
          <w:szCs w:val="20"/>
        </w:rPr>
        <w:t>73,4</w:t>
      </w:r>
      <w:r w:rsidR="00B30905" w:rsidRPr="00B25D7E">
        <w:rPr>
          <w:rFonts w:ascii="Tahoma" w:hAnsi="Tahoma" w:cs="Tahoma"/>
          <w:color w:val="666666"/>
          <w:sz w:val="20"/>
          <w:szCs w:val="20"/>
        </w:rPr>
        <w:t>%</w:t>
      </w:r>
      <w:r w:rsidR="00B4689C"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B30905" w:rsidRPr="00B25D7E">
        <w:rPr>
          <w:rFonts w:ascii="Tahoma" w:hAnsi="Tahoma" w:cs="Tahoma"/>
          <w:color w:val="666666"/>
          <w:sz w:val="20"/>
          <w:szCs w:val="20"/>
        </w:rPr>
        <w:t xml:space="preserve">за </w:t>
      </w:r>
      <w:r w:rsidR="00FE658E">
        <w:rPr>
          <w:rFonts w:ascii="Tahoma" w:hAnsi="Tahoma" w:cs="Tahoma"/>
          <w:color w:val="666666"/>
          <w:sz w:val="20"/>
          <w:szCs w:val="20"/>
        </w:rPr>
        <w:t>4</w:t>
      </w:r>
      <w:r w:rsidR="00B30905" w:rsidRPr="00B25D7E">
        <w:rPr>
          <w:rFonts w:ascii="Tahoma" w:hAnsi="Tahoma" w:cs="Tahoma"/>
          <w:color w:val="666666"/>
          <w:sz w:val="20"/>
          <w:szCs w:val="20"/>
        </w:rPr>
        <w:t xml:space="preserve"> квартал </w:t>
      </w:r>
      <w:r w:rsidR="00A44736">
        <w:rPr>
          <w:rFonts w:ascii="Tahoma" w:hAnsi="Tahoma" w:cs="Tahoma"/>
          <w:color w:val="666666"/>
          <w:sz w:val="20"/>
          <w:szCs w:val="20"/>
        </w:rPr>
        <w:t xml:space="preserve">2015 года 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до </w:t>
      </w:r>
      <w:r w:rsidR="00FE658E">
        <w:rPr>
          <w:rFonts w:ascii="Tahoma" w:hAnsi="Tahoma" w:cs="Tahoma"/>
          <w:color w:val="666666"/>
          <w:sz w:val="20"/>
          <w:szCs w:val="20"/>
        </w:rPr>
        <w:t>269,8</w:t>
      </w:r>
      <w:r w:rsidRPr="00B25D7E">
        <w:rPr>
          <w:rFonts w:ascii="Tahoma" w:hAnsi="Tahoma" w:cs="Tahoma"/>
          <w:color w:val="666666"/>
          <w:sz w:val="20"/>
          <w:szCs w:val="20"/>
        </w:rPr>
        <w:t xml:space="preserve"> </w:t>
      </w:r>
      <w:r w:rsidR="00FE658E">
        <w:rPr>
          <w:rFonts w:ascii="Tahoma" w:hAnsi="Tahoma" w:cs="Tahoma"/>
          <w:color w:val="666666"/>
          <w:sz w:val="20"/>
          <w:szCs w:val="20"/>
        </w:rPr>
        <w:t>млрд</w:t>
      </w:r>
      <w:r w:rsidRPr="00B25D7E">
        <w:rPr>
          <w:rFonts w:ascii="Tahoma" w:hAnsi="Tahoma" w:cs="Tahoma"/>
          <w:color w:val="666666"/>
          <w:sz w:val="20"/>
          <w:szCs w:val="20"/>
        </w:rPr>
        <w:t>. руб.</w:t>
      </w:r>
      <w:r w:rsidR="00EE67B6" w:rsidRPr="00B25D7E">
        <w:rPr>
          <w:rFonts w:ascii="Tahoma" w:hAnsi="Tahoma" w:cs="Tahoma"/>
          <w:color w:val="666666"/>
          <w:sz w:val="20"/>
          <w:szCs w:val="20"/>
        </w:rPr>
        <w:t xml:space="preserve"> Улучшение ситуации с ликвидностью позволяет Банку быть более гибким в управлении </w:t>
      </w:r>
      <w:r w:rsidR="00B30905" w:rsidRPr="00B25D7E">
        <w:rPr>
          <w:rFonts w:ascii="Tahoma" w:hAnsi="Tahoma" w:cs="Tahoma"/>
          <w:color w:val="666666"/>
          <w:sz w:val="20"/>
          <w:szCs w:val="20"/>
        </w:rPr>
        <w:t>стоимостью фондирования</w:t>
      </w:r>
      <w:r w:rsidR="00EE67B6" w:rsidRPr="00B25D7E">
        <w:rPr>
          <w:rFonts w:ascii="Tahoma" w:hAnsi="Tahoma" w:cs="Tahoma"/>
          <w:color w:val="666666"/>
          <w:sz w:val="20"/>
          <w:szCs w:val="20"/>
        </w:rPr>
        <w:t>.</w:t>
      </w:r>
    </w:p>
    <w:p w:rsidR="00A277C7" w:rsidRDefault="00A277C7" w:rsidP="009F18A7">
      <w:p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 w:rsidRPr="00B30905">
        <w:rPr>
          <w:rStyle w:val="a3"/>
          <w:rFonts w:ascii="Tahoma" w:hAnsi="Tahoma" w:cs="Tahoma"/>
          <w:color w:val="666666"/>
          <w:sz w:val="20"/>
          <w:szCs w:val="20"/>
        </w:rPr>
        <w:t>Чистый комиссионный доход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за </w:t>
      </w:r>
      <w:r w:rsidR="00FE658E">
        <w:rPr>
          <w:rStyle w:val="a3"/>
          <w:rFonts w:ascii="Tahoma" w:hAnsi="Tahoma" w:cs="Tahoma"/>
          <w:b w:val="0"/>
          <w:color w:val="666666"/>
          <w:sz w:val="20"/>
          <w:szCs w:val="20"/>
        </w:rPr>
        <w:t>4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квартал составил </w:t>
      </w:r>
      <w:r w:rsidR="00FE658E" w:rsidRPr="00FE658E">
        <w:rPr>
          <w:rStyle w:val="a3"/>
          <w:rFonts w:ascii="Tahoma" w:hAnsi="Tahoma" w:cs="Tahoma"/>
          <w:color w:val="666666"/>
          <w:sz w:val="20"/>
          <w:szCs w:val="20"/>
        </w:rPr>
        <w:t>95,6</w:t>
      </w:r>
      <w:r w:rsidRPr="004375B3">
        <w:rPr>
          <w:rStyle w:val="a3"/>
          <w:rFonts w:ascii="Tahoma" w:hAnsi="Tahoma" w:cs="Tahoma"/>
          <w:color w:val="666666"/>
          <w:sz w:val="20"/>
          <w:szCs w:val="20"/>
        </w:rPr>
        <w:t xml:space="preserve"> млрд. руб.</w:t>
      </w:r>
      <w:r w:rsidR="006A5880">
        <w:rPr>
          <w:rStyle w:val="a3"/>
          <w:rFonts w:ascii="Tahoma" w:hAnsi="Tahoma" w:cs="Tahoma"/>
          <w:color w:val="666666"/>
          <w:sz w:val="20"/>
          <w:szCs w:val="20"/>
        </w:rPr>
        <w:t xml:space="preserve">, </w:t>
      </w:r>
      <w:r w:rsidR="006A5880">
        <w:rPr>
          <w:rStyle w:val="a3"/>
          <w:rFonts w:ascii="Tahoma" w:hAnsi="Tahoma" w:cs="Tahoma"/>
          <w:b w:val="0"/>
          <w:color w:val="666666"/>
          <w:sz w:val="20"/>
          <w:szCs w:val="20"/>
        </w:rPr>
        <w:t>увеличившись на 19,2% по сравнению с 4 кварталом 2014 года.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47162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Доля </w:t>
      </w:r>
      <w:r w:rsidR="00CD67D2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доходов от </w:t>
      </w:r>
      <w:r w:rsidRPr="00A277C7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расчётно-кассового обслуживания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клиентов (</w:t>
      </w:r>
      <w:r w:rsidR="00FE658E">
        <w:rPr>
          <w:rStyle w:val="a3"/>
          <w:rFonts w:ascii="Tahoma" w:hAnsi="Tahoma" w:cs="Tahoma"/>
          <w:b w:val="0"/>
          <w:color w:val="666666"/>
          <w:sz w:val="20"/>
          <w:szCs w:val="20"/>
        </w:rPr>
        <w:t>87,0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млрд. руб.) </w:t>
      </w:r>
      <w:r w:rsidR="0047162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в комиссионных доходах </w:t>
      </w:r>
      <w:r w:rsidR="00134ED0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в 4 квартале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составил</w:t>
      </w:r>
      <w:r w:rsidR="00625E99">
        <w:rPr>
          <w:rStyle w:val="a3"/>
          <w:rFonts w:ascii="Tahoma" w:hAnsi="Tahoma" w:cs="Tahoma"/>
          <w:b w:val="0"/>
          <w:color w:val="666666"/>
          <w:sz w:val="20"/>
          <w:szCs w:val="20"/>
        </w:rPr>
        <w:t>а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7</w:t>
      </w:r>
      <w:r w:rsidR="00FE658E">
        <w:rPr>
          <w:rStyle w:val="a3"/>
          <w:rFonts w:ascii="Tahoma" w:hAnsi="Tahoma" w:cs="Tahoma"/>
          <w:b w:val="0"/>
          <w:color w:val="666666"/>
          <w:sz w:val="20"/>
          <w:szCs w:val="20"/>
        </w:rPr>
        <w:t>5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,</w:t>
      </w:r>
      <w:r w:rsidR="00FE658E">
        <w:rPr>
          <w:rStyle w:val="a3"/>
          <w:rFonts w:ascii="Tahoma" w:hAnsi="Tahoma" w:cs="Tahoma"/>
          <w:b w:val="0"/>
          <w:color w:val="666666"/>
          <w:sz w:val="20"/>
          <w:szCs w:val="20"/>
        </w:rPr>
        <w:t>7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%.</w:t>
      </w:r>
      <w:r w:rsidR="00901379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Доходы от операций с банковскими картами выросли на 48,6% в 4 квартале 2015 года по сравнению с 4 кварталом годом ранее.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</w:p>
    <w:p w:rsidR="003A38A2" w:rsidRDefault="003A38A2" w:rsidP="003A38A2">
      <w:p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 w:rsidRPr="006A5880">
        <w:rPr>
          <w:rStyle w:val="a3"/>
          <w:rFonts w:ascii="Tahoma" w:hAnsi="Tahoma" w:cs="Tahoma"/>
          <w:color w:val="666666"/>
          <w:sz w:val="20"/>
          <w:szCs w:val="20"/>
        </w:rPr>
        <w:t>Чи</w:t>
      </w:r>
      <w:r>
        <w:rPr>
          <w:rStyle w:val="a3"/>
          <w:rFonts w:ascii="Tahoma" w:hAnsi="Tahoma" w:cs="Tahoma"/>
          <w:color w:val="666666"/>
          <w:sz w:val="20"/>
          <w:szCs w:val="20"/>
        </w:rPr>
        <w:t>стые расходы по созданию резерва под обесценение кредитного портфеля</w:t>
      </w:r>
      <w:r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за 4 квартал составили </w:t>
      </w:r>
      <w:r>
        <w:rPr>
          <w:rStyle w:val="a3"/>
          <w:rFonts w:ascii="Tahoma" w:hAnsi="Tahoma" w:cs="Tahoma"/>
          <w:color w:val="666666"/>
          <w:sz w:val="20"/>
          <w:szCs w:val="20"/>
        </w:rPr>
        <w:t>112,</w:t>
      </w:r>
      <w:r w:rsidR="00963E13">
        <w:rPr>
          <w:rStyle w:val="a3"/>
          <w:rFonts w:ascii="Tahoma" w:hAnsi="Tahoma" w:cs="Tahoma"/>
          <w:color w:val="666666"/>
          <w:sz w:val="20"/>
          <w:szCs w:val="20"/>
        </w:rPr>
        <w:t>3</w:t>
      </w:r>
      <w:r>
        <w:rPr>
          <w:rStyle w:val="a3"/>
          <w:rFonts w:ascii="Tahoma" w:hAnsi="Tahoma" w:cs="Tahoma"/>
          <w:color w:val="666666"/>
          <w:sz w:val="20"/>
          <w:szCs w:val="20"/>
        </w:rPr>
        <w:t xml:space="preserve"> млрд. руб</w:t>
      </w:r>
      <w:r w:rsidR="00963E13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. в </w:t>
      </w:r>
      <w:proofErr w:type="gramStart"/>
      <w:r w:rsidR="00963E13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сравнении</w:t>
      </w:r>
      <w:proofErr w:type="gramEnd"/>
      <w:r w:rsidR="00963E13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со 103,4</w:t>
      </w:r>
      <w:r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млрд. руб. за аналогичный период 2014 года, что соответствует стоимости кредитного риска в размере 23</w:t>
      </w:r>
      <w:r w:rsidR="006A5880"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>0</w:t>
      </w:r>
      <w:r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  <w:t xml:space="preserve"> базисных пунктов против 240 базисных пунктов годом ранее. </w:t>
      </w:r>
    </w:p>
    <w:p w:rsidR="006A5880" w:rsidRPr="003A38A2" w:rsidRDefault="006A5880" w:rsidP="006A5880">
      <w:pPr>
        <w:pStyle w:val="a6"/>
        <w:numPr>
          <w:ilvl w:val="0"/>
          <w:numId w:val="15"/>
        </w:num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bCs w:val="0"/>
          <w:color w:val="666666"/>
          <w:sz w:val="20"/>
          <w:szCs w:val="20"/>
        </w:rPr>
      </w:pPr>
      <w:r w:rsidRPr="003A38A2">
        <w:rPr>
          <w:rStyle w:val="a3"/>
          <w:rFonts w:ascii="Tahoma" w:hAnsi="Tahoma" w:cs="Tahoma"/>
          <w:b w:val="0"/>
          <w:color w:val="666666"/>
          <w:sz w:val="20"/>
          <w:szCs w:val="20"/>
        </w:rPr>
        <w:t>Стоимость кредитного риска корпоративного портфеля снизилась на 1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0</w:t>
      </w:r>
      <w:r w:rsidR="00963E13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базисных пунктов до 292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базисных пунктов </w:t>
      </w:r>
      <w:r w:rsidRPr="003A38A2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к предыдущему кварталу. </w:t>
      </w:r>
    </w:p>
    <w:p w:rsidR="00C56A9C" w:rsidRPr="00C56A9C" w:rsidRDefault="006A5880" w:rsidP="009F18A7">
      <w:pPr>
        <w:pStyle w:val="a6"/>
        <w:numPr>
          <w:ilvl w:val="0"/>
          <w:numId w:val="15"/>
        </w:numPr>
        <w:shd w:val="clear" w:color="auto" w:fill="FFFFFF"/>
        <w:spacing w:before="120" w:after="240" w:line="276" w:lineRule="auto"/>
        <w:jc w:val="both"/>
        <w:rPr>
          <w:rStyle w:val="a3"/>
          <w:rFonts w:ascii="Tahoma" w:hAnsi="Tahoma" w:cs="Tahoma"/>
          <w:b w:val="0"/>
          <w:color w:val="666666"/>
          <w:sz w:val="20"/>
          <w:szCs w:val="20"/>
        </w:rPr>
      </w:pP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С</w:t>
      </w:r>
      <w:r w:rsidR="00AF1448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>тоимость кредитного р</w:t>
      </w:r>
      <w:r w:rsidR="002443BE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иска </w:t>
      </w:r>
      <w:r w:rsidR="003A38A2">
        <w:rPr>
          <w:rStyle w:val="a3"/>
          <w:rFonts w:ascii="Tahoma" w:hAnsi="Tahoma" w:cs="Tahoma"/>
          <w:b w:val="0"/>
          <w:color w:val="666666"/>
          <w:sz w:val="20"/>
          <w:szCs w:val="20"/>
        </w:rPr>
        <w:t>розничного</w:t>
      </w:r>
      <w:r w:rsidR="002443BE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портфеля </w:t>
      </w:r>
      <w:r w:rsidR="003A38A2">
        <w:rPr>
          <w:rStyle w:val="a3"/>
          <w:rFonts w:ascii="Tahoma" w:hAnsi="Tahoma" w:cs="Tahoma"/>
          <w:b w:val="0"/>
          <w:color w:val="666666"/>
          <w:sz w:val="20"/>
          <w:szCs w:val="20"/>
        </w:rPr>
        <w:t>снизилась</w:t>
      </w:r>
      <w:r w:rsidR="00AF1448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на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162</w:t>
      </w:r>
      <w:r w:rsidR="003A38A2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2443BE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>базисных пункт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а</w:t>
      </w:r>
      <w:r w:rsidR="002443BE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к предыдущему кварталу </w:t>
      </w:r>
      <w:r w:rsidR="00AF1448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до </w:t>
      </w:r>
      <w:r>
        <w:rPr>
          <w:rStyle w:val="a3"/>
          <w:rFonts w:ascii="Tahoma" w:hAnsi="Tahoma" w:cs="Tahoma"/>
          <w:b w:val="0"/>
          <w:color w:val="666666"/>
          <w:sz w:val="20"/>
          <w:szCs w:val="20"/>
        </w:rPr>
        <w:t>49</w:t>
      </w:r>
      <w:r w:rsidR="00EC35E5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</w:t>
      </w:r>
      <w:r w:rsidR="002443BE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>базисн</w:t>
      </w:r>
      <w:r w:rsidR="003A38A2">
        <w:rPr>
          <w:rStyle w:val="a3"/>
          <w:rFonts w:ascii="Tahoma" w:hAnsi="Tahoma" w:cs="Tahoma"/>
          <w:b w:val="0"/>
          <w:color w:val="666666"/>
          <w:sz w:val="20"/>
          <w:szCs w:val="20"/>
        </w:rPr>
        <w:t>ых</w:t>
      </w:r>
      <w:r w:rsidR="002443BE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 пункт</w:t>
      </w:r>
      <w:r w:rsidR="003A38A2">
        <w:rPr>
          <w:rStyle w:val="a3"/>
          <w:rFonts w:ascii="Tahoma" w:hAnsi="Tahoma" w:cs="Tahoma"/>
          <w:b w:val="0"/>
          <w:color w:val="666666"/>
          <w:sz w:val="20"/>
          <w:szCs w:val="20"/>
        </w:rPr>
        <w:t>ов</w:t>
      </w:r>
      <w:r w:rsidR="00AF1448" w:rsidRPr="00B25D7E">
        <w:rPr>
          <w:rStyle w:val="a3"/>
          <w:rFonts w:ascii="Tahoma" w:hAnsi="Tahoma" w:cs="Tahoma"/>
          <w:b w:val="0"/>
          <w:color w:val="666666"/>
          <w:sz w:val="20"/>
          <w:szCs w:val="20"/>
        </w:rPr>
        <w:t xml:space="preserve">. </w:t>
      </w:r>
    </w:p>
    <w:p w:rsidR="00AF1448" w:rsidRPr="003A38A2" w:rsidRDefault="00AF1448" w:rsidP="003A38A2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3A38A2">
        <w:rPr>
          <w:rFonts w:ascii="Tahoma" w:hAnsi="Tahoma" w:cs="Tahoma"/>
          <w:b/>
          <w:color w:val="666666"/>
          <w:sz w:val="20"/>
          <w:szCs w:val="20"/>
        </w:rPr>
        <w:t>Операционные расходы</w:t>
      </w:r>
      <w:r w:rsidRPr="003A38A2">
        <w:rPr>
          <w:rFonts w:ascii="Tahoma" w:hAnsi="Tahoma" w:cs="Tahoma"/>
          <w:color w:val="666666"/>
          <w:sz w:val="20"/>
          <w:szCs w:val="20"/>
        </w:rPr>
        <w:t xml:space="preserve"> Группы в </w:t>
      </w:r>
      <w:r w:rsidR="003A38A2">
        <w:rPr>
          <w:rFonts w:ascii="Tahoma" w:hAnsi="Tahoma" w:cs="Tahoma"/>
          <w:color w:val="666666"/>
          <w:sz w:val="20"/>
          <w:szCs w:val="20"/>
        </w:rPr>
        <w:t>4</w:t>
      </w:r>
      <w:r w:rsidRPr="003A38A2"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gramStart"/>
      <w:r w:rsidRPr="003A38A2">
        <w:rPr>
          <w:rFonts w:ascii="Tahoma" w:hAnsi="Tahoma" w:cs="Tahoma"/>
          <w:color w:val="666666"/>
          <w:sz w:val="20"/>
          <w:szCs w:val="20"/>
        </w:rPr>
        <w:t>квартале</w:t>
      </w:r>
      <w:proofErr w:type="gramEnd"/>
      <w:r w:rsidRPr="003A38A2">
        <w:rPr>
          <w:rFonts w:ascii="Tahoma" w:hAnsi="Tahoma" w:cs="Tahoma"/>
          <w:color w:val="666666"/>
          <w:sz w:val="20"/>
          <w:szCs w:val="20"/>
        </w:rPr>
        <w:t xml:space="preserve"> 2015 года составили </w:t>
      </w:r>
      <w:r w:rsidR="003A38A2">
        <w:rPr>
          <w:rFonts w:ascii="Tahoma" w:hAnsi="Tahoma" w:cs="Tahoma"/>
          <w:b/>
          <w:color w:val="666666"/>
          <w:sz w:val="20"/>
          <w:szCs w:val="20"/>
        </w:rPr>
        <w:t>191,7</w:t>
      </w:r>
      <w:r w:rsidR="00EC35E5" w:rsidRPr="003A38A2">
        <w:rPr>
          <w:rFonts w:ascii="Tahoma" w:hAnsi="Tahoma" w:cs="Tahoma"/>
          <w:b/>
          <w:color w:val="666666"/>
          <w:sz w:val="20"/>
          <w:szCs w:val="20"/>
        </w:rPr>
        <w:t xml:space="preserve"> </w:t>
      </w:r>
      <w:r w:rsidRPr="003A38A2">
        <w:rPr>
          <w:rFonts w:ascii="Tahoma" w:hAnsi="Tahoma" w:cs="Tahoma"/>
          <w:b/>
          <w:color w:val="666666"/>
          <w:sz w:val="20"/>
          <w:szCs w:val="20"/>
        </w:rPr>
        <w:t>млрд. руб.</w:t>
      </w:r>
      <w:r w:rsidRPr="003A38A2">
        <w:rPr>
          <w:rFonts w:ascii="Tahoma" w:hAnsi="Tahoma" w:cs="Tahoma"/>
          <w:color w:val="666666"/>
          <w:sz w:val="20"/>
          <w:szCs w:val="20"/>
        </w:rPr>
        <w:t xml:space="preserve">, прибавив </w:t>
      </w:r>
      <w:r w:rsidR="003A38A2">
        <w:rPr>
          <w:rFonts w:ascii="Tahoma" w:hAnsi="Tahoma" w:cs="Tahoma"/>
          <w:color w:val="666666"/>
          <w:sz w:val="20"/>
          <w:szCs w:val="20"/>
        </w:rPr>
        <w:t>8,3</w:t>
      </w:r>
      <w:r w:rsidRPr="003A38A2">
        <w:rPr>
          <w:rFonts w:ascii="Tahoma" w:hAnsi="Tahoma" w:cs="Tahoma"/>
          <w:color w:val="666666"/>
          <w:sz w:val="20"/>
          <w:szCs w:val="20"/>
        </w:rPr>
        <w:t xml:space="preserve">% </w:t>
      </w:r>
      <w:r w:rsidR="002443BE" w:rsidRPr="003A38A2">
        <w:rPr>
          <w:rFonts w:ascii="Tahoma" w:hAnsi="Tahoma" w:cs="Tahoma"/>
          <w:color w:val="666666"/>
          <w:sz w:val="20"/>
          <w:szCs w:val="20"/>
        </w:rPr>
        <w:t>относительно аналогичного периода 2014 года</w:t>
      </w:r>
      <w:r w:rsidR="00C9479D">
        <w:rPr>
          <w:rFonts w:ascii="Tahoma" w:hAnsi="Tahoma" w:cs="Tahoma"/>
          <w:color w:val="666666"/>
          <w:sz w:val="20"/>
          <w:szCs w:val="20"/>
        </w:rPr>
        <w:t xml:space="preserve">, тогда как средний уровень инфляции </w:t>
      </w:r>
      <w:r w:rsidR="0026773D" w:rsidRPr="003A38A2">
        <w:rPr>
          <w:rFonts w:ascii="Tahoma" w:hAnsi="Tahoma" w:cs="Tahoma"/>
          <w:color w:val="666666"/>
          <w:sz w:val="20"/>
          <w:szCs w:val="20"/>
        </w:rPr>
        <w:t xml:space="preserve"> </w:t>
      </w:r>
      <w:r w:rsidR="00C9479D" w:rsidRPr="003A38A2">
        <w:rPr>
          <w:rFonts w:ascii="Tahoma" w:hAnsi="Tahoma" w:cs="Tahoma"/>
          <w:color w:val="666666"/>
          <w:sz w:val="20"/>
          <w:szCs w:val="20"/>
        </w:rPr>
        <w:t xml:space="preserve">за тот же период </w:t>
      </w:r>
      <w:r w:rsidR="00C9479D">
        <w:rPr>
          <w:rFonts w:ascii="Tahoma" w:hAnsi="Tahoma" w:cs="Tahoma"/>
          <w:color w:val="666666"/>
          <w:sz w:val="20"/>
          <w:szCs w:val="20"/>
        </w:rPr>
        <w:t xml:space="preserve">составил </w:t>
      </w:r>
      <w:r w:rsidR="006A5880">
        <w:rPr>
          <w:rFonts w:ascii="Tahoma" w:hAnsi="Tahoma" w:cs="Tahoma"/>
          <w:color w:val="666666"/>
          <w:sz w:val="20"/>
          <w:szCs w:val="20"/>
        </w:rPr>
        <w:t>14,5</w:t>
      </w:r>
      <w:r w:rsidR="002443BE" w:rsidRPr="003A38A2">
        <w:rPr>
          <w:rFonts w:ascii="Tahoma" w:hAnsi="Tahoma" w:cs="Tahoma"/>
          <w:color w:val="666666"/>
          <w:sz w:val="20"/>
          <w:szCs w:val="20"/>
        </w:rPr>
        <w:t>%.</w:t>
      </w:r>
    </w:p>
    <w:p w:rsidR="009E36F0" w:rsidRPr="00CD6F62" w:rsidRDefault="00CD6F62" w:rsidP="00BD09A1">
      <w:p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Основные показатели отчета о финансовом положении</w:t>
      </w:r>
    </w:p>
    <w:tbl>
      <w:tblPr>
        <w:tblStyle w:val="-30"/>
        <w:tblW w:w="10188" w:type="dxa"/>
        <w:tblLayout w:type="fixed"/>
        <w:tblLook w:val="04A0" w:firstRow="1" w:lastRow="0" w:firstColumn="1" w:lastColumn="0" w:noHBand="0" w:noVBand="1"/>
      </w:tblPr>
      <w:tblGrid>
        <w:gridCol w:w="3708"/>
        <w:gridCol w:w="1260"/>
        <w:gridCol w:w="1260"/>
        <w:gridCol w:w="1252"/>
        <w:gridCol w:w="1354"/>
        <w:gridCol w:w="1354"/>
      </w:tblGrid>
      <w:tr w:rsidR="00374CFF" w:rsidRPr="00976411" w:rsidTr="000A6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374CFF" w:rsidRPr="00374CFF" w:rsidRDefault="00374CFF" w:rsidP="00BD09A1">
            <w:pP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374CFF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В млрд. руб., если не указано иное</w:t>
            </w:r>
          </w:p>
        </w:tc>
        <w:tc>
          <w:tcPr>
            <w:tcW w:w="1260" w:type="dxa"/>
          </w:tcPr>
          <w:p w:rsidR="00374CFF" w:rsidRPr="000D3DAE" w:rsidRDefault="003A38A2" w:rsidP="003A38A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31</w:t>
            </w:r>
            <w:r w:rsidR="00374CFF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/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12</w:t>
            </w:r>
            <w:r w:rsidR="00374CFF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/1</w:t>
            </w:r>
            <w:r w:rsidR="00374CFF" w:rsidRPr="000D3DA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5</w:t>
            </w:r>
          </w:p>
        </w:tc>
        <w:tc>
          <w:tcPr>
            <w:tcW w:w="1260" w:type="dxa"/>
          </w:tcPr>
          <w:p w:rsidR="00374CFF" w:rsidRPr="000D3DAE" w:rsidRDefault="00374CFF" w:rsidP="003A38A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30/</w:t>
            </w:r>
            <w:r w:rsidR="003A38A2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09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/</w:t>
            </w:r>
            <w:r w:rsidRPr="000D3DA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15</w:t>
            </w:r>
          </w:p>
        </w:tc>
        <w:tc>
          <w:tcPr>
            <w:tcW w:w="1252" w:type="dxa"/>
          </w:tcPr>
          <w:p w:rsidR="00374CFF" w:rsidRPr="000D3DAE" w:rsidRDefault="00374CFF" w:rsidP="004B0A7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31/12/</w:t>
            </w:r>
            <w:r w:rsidRPr="000D3DA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14</w:t>
            </w:r>
          </w:p>
        </w:tc>
        <w:tc>
          <w:tcPr>
            <w:tcW w:w="1354" w:type="dxa"/>
          </w:tcPr>
          <w:p w:rsidR="00374CFF" w:rsidRPr="000D3DAE" w:rsidRDefault="003A38A2" w:rsidP="00857F6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12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M-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9</w:t>
            </w:r>
            <w:r w:rsidR="00374CFF" w:rsidRPr="000D3DA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 2015</w:t>
            </w:r>
          </w:p>
        </w:tc>
        <w:tc>
          <w:tcPr>
            <w:tcW w:w="1354" w:type="dxa"/>
          </w:tcPr>
          <w:p w:rsidR="00374CFF" w:rsidRPr="000D3DAE" w:rsidRDefault="003A38A2" w:rsidP="00857F6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12</w:t>
            </w:r>
            <w:r w:rsidR="00374CFF" w:rsidRPr="000D3DA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M15-12M14</w:t>
            </w:r>
          </w:p>
        </w:tc>
      </w:tr>
      <w:tr w:rsidR="00CD6F62" w:rsidRPr="00976411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Кредиты всего, нетто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3A38A2" w:rsidRDefault="003A38A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18 727,8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3A38A2" w:rsidRDefault="003A38A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17 948,7</w:t>
            </w:r>
          </w:p>
        </w:tc>
        <w:tc>
          <w:tcPr>
            <w:tcW w:w="1252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17 </w:t>
            </w:r>
            <w:r w:rsidR="00EC35E5"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7</w:t>
            </w:r>
            <w:r w:rsidR="00EC35E5"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56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A38A2" w:rsidRDefault="003A38A2" w:rsidP="003A38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4,3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3A38A2" w:rsidP="003A38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5,5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CD6F62" w:rsidRPr="00976411" w:rsidTr="000A6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CD6F62" w:rsidRPr="00976411" w:rsidRDefault="00CD6F62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Кредиты всего (до вычета резерва под обесценение)</w:t>
            </w:r>
          </w:p>
        </w:tc>
        <w:tc>
          <w:tcPr>
            <w:tcW w:w="1260" w:type="dxa"/>
          </w:tcPr>
          <w:p w:rsidR="00CD6F62" w:rsidRPr="003A38A2" w:rsidRDefault="00CD6F62" w:rsidP="003A38A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19</w:t>
            </w:r>
            <w:r w:rsidR="003A38A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 </w:t>
            </w:r>
            <w:r w:rsidR="003A38A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924,3</w:t>
            </w:r>
          </w:p>
        </w:tc>
        <w:tc>
          <w:tcPr>
            <w:tcW w:w="1260" w:type="dxa"/>
          </w:tcPr>
          <w:p w:rsidR="00CD6F62" w:rsidRPr="003A38A2" w:rsidRDefault="003A38A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19 092,9</w:t>
            </w:r>
          </w:p>
        </w:tc>
        <w:tc>
          <w:tcPr>
            <w:tcW w:w="1252" w:type="dxa"/>
          </w:tcPr>
          <w:p w:rsidR="00CD6F62" w:rsidRPr="00976411" w:rsidRDefault="00CD6F6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18 626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</w:p>
        </w:tc>
        <w:tc>
          <w:tcPr>
            <w:tcW w:w="1354" w:type="dxa"/>
          </w:tcPr>
          <w:p w:rsidR="00CD6F62" w:rsidRPr="00374CFF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4,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4%</w:t>
            </w:r>
          </w:p>
        </w:tc>
        <w:tc>
          <w:tcPr>
            <w:tcW w:w="1354" w:type="dxa"/>
          </w:tcPr>
          <w:p w:rsidR="00CD6F62" w:rsidRPr="00374CFF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7,0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CD6F62" w:rsidRPr="00976411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Кредиты юридическим лицам (до вычета резерва под обесценение)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976411" w:rsidRDefault="00CD6F62" w:rsidP="000C409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14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 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958,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7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0C409B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14 204,7</w:t>
            </w:r>
          </w:p>
        </w:tc>
        <w:tc>
          <w:tcPr>
            <w:tcW w:w="1252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13 778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8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5,3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8,6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CD6F62" w:rsidRPr="00976411" w:rsidTr="000A6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CD6F62" w:rsidRPr="00976411" w:rsidRDefault="00CD6F62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Кредиты физическим лицам (до вычета резерва под обесценение)</w:t>
            </w:r>
          </w:p>
        </w:tc>
        <w:tc>
          <w:tcPr>
            <w:tcW w:w="1260" w:type="dxa"/>
          </w:tcPr>
          <w:p w:rsidR="00CD6F62" w:rsidRPr="000C409B" w:rsidRDefault="00CD6F62" w:rsidP="000C409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 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965,5</w:t>
            </w:r>
          </w:p>
        </w:tc>
        <w:tc>
          <w:tcPr>
            <w:tcW w:w="1260" w:type="dxa"/>
          </w:tcPr>
          <w:p w:rsidR="00CD6F62" w:rsidRPr="000C409B" w:rsidRDefault="00CD6F62" w:rsidP="000C409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 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888,2</w:t>
            </w:r>
          </w:p>
        </w:tc>
        <w:tc>
          <w:tcPr>
            <w:tcW w:w="1252" w:type="dxa"/>
          </w:tcPr>
          <w:p w:rsidR="00CD6F62" w:rsidRPr="00976411" w:rsidRDefault="00CD6F6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4 847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</w:t>
            </w:r>
          </w:p>
        </w:tc>
        <w:tc>
          <w:tcPr>
            <w:tcW w:w="1354" w:type="dxa"/>
          </w:tcPr>
          <w:p w:rsidR="00CD6F62" w:rsidRPr="00374CFF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1,6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</w:tcPr>
          <w:p w:rsidR="00CD6F62" w:rsidRPr="00374CFF" w:rsidRDefault="002124BF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2,4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CD6F62" w:rsidRPr="00976411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CD6F62" w:rsidRPr="00976411" w:rsidRDefault="00755041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Реструктурированная задолженность до резервов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0C409B" w:rsidRDefault="00CD6F62" w:rsidP="000C409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 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423,8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0C409B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3 296,</w:t>
            </w:r>
            <w:r w:rsidR="009D2F55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7</w:t>
            </w:r>
          </w:p>
        </w:tc>
        <w:tc>
          <w:tcPr>
            <w:tcW w:w="1252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2 452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3,9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39,6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CD6F62" w:rsidRPr="00976411" w:rsidTr="000A6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CD6F62" w:rsidRPr="00976411" w:rsidRDefault="00CD6F62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Портфель ценных бумаг </w:t>
            </w:r>
          </w:p>
        </w:tc>
        <w:tc>
          <w:tcPr>
            <w:tcW w:w="1260" w:type="dxa"/>
          </w:tcPr>
          <w:p w:rsidR="00CD6F62" w:rsidRPr="000C409B" w:rsidRDefault="00CD6F62" w:rsidP="002124B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 </w:t>
            </w:r>
            <w:r w:rsidR="002124B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906,0</w:t>
            </w:r>
          </w:p>
        </w:tc>
        <w:tc>
          <w:tcPr>
            <w:tcW w:w="1260" w:type="dxa"/>
          </w:tcPr>
          <w:p w:rsidR="00CD6F62" w:rsidRPr="006A5880" w:rsidRDefault="006A5880" w:rsidP="002124B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2 </w:t>
            </w:r>
            <w:r w:rsidR="002124B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329,1</w:t>
            </w:r>
          </w:p>
        </w:tc>
        <w:tc>
          <w:tcPr>
            <w:tcW w:w="1252" w:type="dxa"/>
          </w:tcPr>
          <w:p w:rsidR="00CD6F62" w:rsidRPr="000C409B" w:rsidRDefault="000C409B" w:rsidP="002124B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2 </w:t>
            </w:r>
            <w:r w:rsidR="002124B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231,9</w:t>
            </w:r>
          </w:p>
        </w:tc>
        <w:tc>
          <w:tcPr>
            <w:tcW w:w="1354" w:type="dxa"/>
          </w:tcPr>
          <w:p w:rsidR="00CD6F62" w:rsidRPr="006A5880" w:rsidRDefault="002124BF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24,8</w:t>
            </w:r>
            <w:r w:rsidR="006A5880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%</w:t>
            </w:r>
          </w:p>
        </w:tc>
        <w:tc>
          <w:tcPr>
            <w:tcW w:w="1354" w:type="dxa"/>
          </w:tcPr>
          <w:p w:rsidR="00CD6F62" w:rsidRPr="00374CFF" w:rsidRDefault="002124BF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30,2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CD6F62" w:rsidRPr="00976411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Всего активов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0C409B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27 334,7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0C409B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25 934,4</w:t>
            </w:r>
          </w:p>
        </w:tc>
        <w:tc>
          <w:tcPr>
            <w:tcW w:w="1252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25 200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8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5,4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8,5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CD6F62" w:rsidRPr="00976411" w:rsidTr="000A6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CD6F62" w:rsidRPr="00976411" w:rsidRDefault="00CD6F62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Средства клиентов</w:t>
            </w:r>
          </w:p>
        </w:tc>
        <w:tc>
          <w:tcPr>
            <w:tcW w:w="1260" w:type="dxa"/>
          </w:tcPr>
          <w:p w:rsidR="00CD6F62" w:rsidRPr="000C409B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19 798,3</w:t>
            </w:r>
          </w:p>
        </w:tc>
        <w:tc>
          <w:tcPr>
            <w:tcW w:w="1260" w:type="dxa"/>
          </w:tcPr>
          <w:p w:rsidR="00CD6F62" w:rsidRPr="000C409B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18 286,5</w:t>
            </w:r>
          </w:p>
        </w:tc>
        <w:tc>
          <w:tcPr>
            <w:tcW w:w="1252" w:type="dxa"/>
          </w:tcPr>
          <w:p w:rsidR="00CD6F62" w:rsidRPr="00976411" w:rsidRDefault="00CD6F6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15 562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</w:t>
            </w:r>
          </w:p>
        </w:tc>
        <w:tc>
          <w:tcPr>
            <w:tcW w:w="1354" w:type="dxa"/>
          </w:tcPr>
          <w:p w:rsidR="00CD6F62" w:rsidRPr="00374CFF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8,3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</w:tcPr>
          <w:p w:rsidR="00CD6F62" w:rsidRPr="00374CFF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27,2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CD6F62" w:rsidRPr="00976411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Средства физических лиц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0C409B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12 043,7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0C409B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10 893,1</w:t>
            </w:r>
          </w:p>
        </w:tc>
        <w:tc>
          <w:tcPr>
            <w:tcW w:w="1252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9 328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10,6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29,1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CD6F62" w:rsidRPr="00976411" w:rsidTr="000A6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CD6F62" w:rsidRPr="00976411" w:rsidRDefault="00CD6F62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Средства корпоративных клиентов</w:t>
            </w:r>
          </w:p>
        </w:tc>
        <w:tc>
          <w:tcPr>
            <w:tcW w:w="1260" w:type="dxa"/>
          </w:tcPr>
          <w:p w:rsidR="00CD6F62" w:rsidRPr="000C409B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7 754,6</w:t>
            </w:r>
          </w:p>
        </w:tc>
        <w:tc>
          <w:tcPr>
            <w:tcW w:w="1260" w:type="dxa"/>
          </w:tcPr>
          <w:p w:rsidR="00CD6F62" w:rsidRPr="000C409B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7 393,4</w:t>
            </w:r>
          </w:p>
        </w:tc>
        <w:tc>
          <w:tcPr>
            <w:tcW w:w="1252" w:type="dxa"/>
          </w:tcPr>
          <w:p w:rsidR="00CD6F62" w:rsidRPr="00976411" w:rsidRDefault="00CD6F6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6 234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</w:t>
            </w:r>
          </w:p>
        </w:tc>
        <w:tc>
          <w:tcPr>
            <w:tcW w:w="1354" w:type="dxa"/>
          </w:tcPr>
          <w:p w:rsidR="00CD6F62" w:rsidRPr="00374CFF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4,9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</w:tcPr>
          <w:p w:rsidR="00CD6F62" w:rsidRPr="00374CFF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24,4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8C2184" w:rsidRPr="00976411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8" w:type="dxa"/>
            <w:gridSpan w:val="2"/>
            <w:shd w:val="clear" w:color="auto" w:fill="D6E3BC" w:themeFill="accent3" w:themeFillTint="66"/>
          </w:tcPr>
          <w:p w:rsidR="008C2184" w:rsidRPr="008C2184" w:rsidRDefault="008C2184" w:rsidP="008C2184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8C2184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Основные финансовые коэффициенты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8C2184" w:rsidRPr="00976411" w:rsidRDefault="008C2184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D6E3BC" w:themeFill="accent3" w:themeFillTint="66"/>
          </w:tcPr>
          <w:p w:rsidR="008C2184" w:rsidRPr="00976411" w:rsidRDefault="008C2184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D6E3BC" w:themeFill="accent3" w:themeFillTint="66"/>
          </w:tcPr>
          <w:p w:rsidR="008C2184" w:rsidRPr="00374CFF" w:rsidRDefault="008C2184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354" w:type="dxa"/>
            <w:shd w:val="clear" w:color="auto" w:fill="D6E3BC" w:themeFill="accent3" w:themeFillTint="66"/>
          </w:tcPr>
          <w:p w:rsidR="008C2184" w:rsidRPr="00374CFF" w:rsidRDefault="008C2184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</w:tr>
      <w:tr w:rsidR="00CD6F62" w:rsidRPr="00976411" w:rsidTr="000A6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CD6F62" w:rsidRPr="00976411" w:rsidRDefault="00755041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Отношение кредитного портфеля к средствам клиентов</w:t>
            </w:r>
          </w:p>
        </w:tc>
        <w:tc>
          <w:tcPr>
            <w:tcW w:w="1260" w:type="dxa"/>
          </w:tcPr>
          <w:p w:rsidR="00CD6F62" w:rsidRPr="00976411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91,9</w:t>
            </w:r>
            <w:r w:rsidR="00CD6F62"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60" w:type="dxa"/>
          </w:tcPr>
          <w:p w:rsidR="00CD6F62" w:rsidRPr="00976411" w:rsidRDefault="000C409B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95,3</w:t>
            </w:r>
            <w:r w:rsidR="00CD6F62"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52" w:type="dxa"/>
          </w:tcPr>
          <w:p w:rsidR="00CD6F62" w:rsidRPr="00976411" w:rsidRDefault="00EC35E5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110,8</w:t>
            </w:r>
            <w:r w:rsidR="00CD6F62"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4" w:type="dxa"/>
          </w:tcPr>
          <w:p w:rsidR="00CD6F62" w:rsidRPr="00374CFF" w:rsidRDefault="00CD6F62" w:rsidP="000C409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</w:t>
            </w:r>
            <w:r w:rsidR="000C409B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3</w:t>
            </w:r>
            <w:proofErr w:type="gramStart"/>
            <w:r w:rsidR="000C409B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,4</w:t>
            </w:r>
            <w:proofErr w:type="gramEnd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  <w:r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)</w:t>
            </w:r>
          </w:p>
        </w:tc>
        <w:tc>
          <w:tcPr>
            <w:tcW w:w="1354" w:type="dxa"/>
          </w:tcPr>
          <w:p w:rsidR="00CD6F62" w:rsidRPr="00374CFF" w:rsidRDefault="00CD6F62" w:rsidP="000C409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(</w:t>
            </w:r>
            <w:r w:rsidR="000C409B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18</w:t>
            </w:r>
            <w:proofErr w:type="gramStart"/>
            <w:r w:rsidR="000C409B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,9</w:t>
            </w:r>
            <w:proofErr w:type="gramEnd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  <w:r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)</w:t>
            </w:r>
          </w:p>
        </w:tc>
      </w:tr>
      <w:tr w:rsidR="00CD6F62" w:rsidRPr="00976411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CD6F62" w:rsidRPr="00976411" w:rsidRDefault="00755041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 xml:space="preserve">Доля  неработающих  кредитов  в кредитном  </w:t>
            </w:r>
            <w:proofErr w:type="gramStart"/>
            <w:r w:rsidRPr="00976411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>портфеле</w:t>
            </w:r>
            <w:proofErr w:type="gramEnd"/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976411" w:rsidRDefault="00CD6F62" w:rsidP="000C409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5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0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976411" w:rsidRDefault="000C409B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5,4</w:t>
            </w:r>
            <w:r w:rsidR="00CD6F62"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52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2%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0C409B" w:rsidRDefault="000C409B" w:rsidP="000C409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</w:t>
            </w:r>
            <w:r w:rsidR="00CD6F62" w:rsidRP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0</w:t>
            </w:r>
            <w:r w:rsid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</w:t>
            </w:r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)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0C409B" w:rsidRDefault="000C409B" w:rsidP="002124B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1</w:t>
            </w:r>
            <w:r w:rsidR="00374CF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,</w:t>
            </w: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8</w:t>
            </w:r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</w:p>
        </w:tc>
      </w:tr>
      <w:tr w:rsidR="00CD6F62" w:rsidRPr="00976411" w:rsidTr="000A6CFB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CD6F62" w:rsidRPr="00976411" w:rsidRDefault="00BF5A19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>Р</w:t>
            </w:r>
            <w:r w:rsidR="00755041" w:rsidRPr="00976411">
              <w:rPr>
                <w:rFonts w:ascii="Tahoma" w:hAnsi="Tahoma" w:cs="Tahoma"/>
                <w:b w:val="0"/>
                <w:color w:val="666666"/>
                <w:sz w:val="20"/>
                <w:szCs w:val="20"/>
              </w:rPr>
              <w:t>езерв  под  обесценение  кредитного портфеля  к  неработающим  кредитам</w:t>
            </w:r>
          </w:p>
        </w:tc>
        <w:tc>
          <w:tcPr>
            <w:tcW w:w="1260" w:type="dxa"/>
          </w:tcPr>
          <w:p w:rsidR="00CD6F62" w:rsidRPr="00976411" w:rsidRDefault="00CD6F62" w:rsidP="000C409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X</w:t>
            </w:r>
          </w:p>
        </w:tc>
        <w:tc>
          <w:tcPr>
            <w:tcW w:w="1260" w:type="dxa"/>
          </w:tcPr>
          <w:p w:rsidR="00CD6F62" w:rsidRPr="00976411" w:rsidRDefault="00CD6F62" w:rsidP="000C409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X</w:t>
            </w:r>
          </w:p>
        </w:tc>
        <w:tc>
          <w:tcPr>
            <w:tcW w:w="1252" w:type="dxa"/>
          </w:tcPr>
          <w:p w:rsidR="00CD6F62" w:rsidRPr="00976411" w:rsidRDefault="00CD6F6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4X</w:t>
            </w:r>
          </w:p>
        </w:tc>
        <w:tc>
          <w:tcPr>
            <w:tcW w:w="1354" w:type="dxa"/>
          </w:tcPr>
          <w:p w:rsidR="00CD6F62" w:rsidRPr="00374CFF" w:rsidRDefault="00CD6F6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  <w:tc>
          <w:tcPr>
            <w:tcW w:w="1354" w:type="dxa"/>
          </w:tcPr>
          <w:p w:rsidR="00CD6F62" w:rsidRPr="00374CFF" w:rsidRDefault="00CD6F6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</w:p>
        </w:tc>
      </w:tr>
      <w:tr w:rsidR="00CD6F62" w:rsidRPr="00976411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CD6F62" w:rsidRPr="00976411" w:rsidRDefault="00755041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Доля реструктурированных кредитов в совокупном кредитном </w:t>
            </w:r>
            <w:proofErr w:type="gramStart"/>
            <w:r w:rsidRPr="00976411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портфеле</w:t>
            </w:r>
            <w:proofErr w:type="gramEnd"/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976411" w:rsidRDefault="00CD6F62" w:rsidP="002124B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17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2124B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60" w:type="dxa"/>
            <w:shd w:val="clear" w:color="auto" w:fill="D6E3BC" w:themeFill="accent3" w:themeFillTint="66"/>
          </w:tcPr>
          <w:p w:rsidR="00CD6F62" w:rsidRPr="00976411" w:rsidRDefault="00CD6F62" w:rsidP="000C409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  <w:r w:rsidR="000C409B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7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3%</w:t>
            </w:r>
          </w:p>
        </w:tc>
        <w:tc>
          <w:tcPr>
            <w:tcW w:w="1252" w:type="dxa"/>
            <w:shd w:val="clear" w:color="auto" w:fill="D6E3BC" w:themeFill="accent3" w:themeFillTint="66"/>
          </w:tcPr>
          <w:p w:rsidR="00CD6F62" w:rsidRPr="00976411" w:rsidRDefault="00CD6F6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13</w:t>
            </w:r>
            <w:r w:rsidR="00374CF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976411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2%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0C409B" w:rsidRDefault="002124BF" w:rsidP="000C409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(0,1</w:t>
            </w:r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  <w:r w:rsidR="000C409B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)</w:t>
            </w:r>
          </w:p>
        </w:tc>
        <w:tc>
          <w:tcPr>
            <w:tcW w:w="1354" w:type="dxa"/>
            <w:shd w:val="clear" w:color="auto" w:fill="D6E3BC" w:themeFill="accent3" w:themeFillTint="66"/>
          </w:tcPr>
          <w:p w:rsidR="00CD6F62" w:rsidRPr="00374CFF" w:rsidRDefault="002124BF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</w:rPr>
              <w:t>4,0</w:t>
            </w:r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02150F">
              <w:rPr>
                <w:rStyle w:val="a3"/>
                <w:rFonts w:ascii="Tahoma" w:hAnsi="Tahoma" w:cs="Tahoma"/>
                <w:b w:val="0"/>
                <w:i/>
                <w:color w:val="666666"/>
                <w:sz w:val="20"/>
                <w:szCs w:val="20"/>
                <w:lang w:val="en-US"/>
              </w:rPr>
              <w:t>.</w:t>
            </w:r>
          </w:p>
        </w:tc>
      </w:tr>
    </w:tbl>
    <w:p w:rsidR="00A321A6" w:rsidRPr="002C2971" w:rsidRDefault="00A321A6" w:rsidP="00BD09A1">
      <w:pPr>
        <w:shd w:val="clear" w:color="auto" w:fill="FFFFFF"/>
        <w:spacing w:line="255" w:lineRule="atLeast"/>
        <w:jc w:val="both"/>
        <w:rPr>
          <w:rFonts w:ascii="Tahoma" w:hAnsi="Tahoma" w:cs="Tahoma"/>
          <w:color w:val="666666"/>
          <w:sz w:val="20"/>
          <w:szCs w:val="20"/>
          <w:lang w:val="en-US"/>
        </w:rPr>
      </w:pPr>
    </w:p>
    <w:p w:rsidR="00BF5A19" w:rsidRDefault="00BF5A19" w:rsidP="009F18A7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746A05">
        <w:rPr>
          <w:rFonts w:ascii="Tahoma" w:hAnsi="Tahoma" w:cs="Tahoma"/>
          <w:b/>
          <w:color w:val="666666"/>
          <w:sz w:val="20"/>
          <w:szCs w:val="20"/>
        </w:rPr>
        <w:t>Кредитный портфель</w:t>
      </w:r>
      <w:r w:rsidR="00746A05">
        <w:rPr>
          <w:rFonts w:ascii="Tahoma" w:hAnsi="Tahoma" w:cs="Tahoma"/>
          <w:b/>
          <w:color w:val="666666"/>
          <w:sz w:val="20"/>
          <w:szCs w:val="20"/>
        </w:rPr>
        <w:t xml:space="preserve"> за вычетом резервов</w:t>
      </w:r>
      <w:r>
        <w:rPr>
          <w:rFonts w:ascii="Tahoma" w:hAnsi="Tahoma" w:cs="Tahoma"/>
          <w:color w:val="666666"/>
          <w:sz w:val="20"/>
          <w:szCs w:val="20"/>
        </w:rPr>
        <w:t xml:space="preserve"> вырос на </w:t>
      </w:r>
      <w:r w:rsidR="000C409B">
        <w:rPr>
          <w:rFonts w:ascii="Tahoma" w:hAnsi="Tahoma" w:cs="Tahoma"/>
          <w:color w:val="666666"/>
          <w:sz w:val="20"/>
          <w:szCs w:val="20"/>
        </w:rPr>
        <w:t>4,3</w:t>
      </w:r>
      <w:r>
        <w:rPr>
          <w:rFonts w:ascii="Tahoma" w:hAnsi="Tahoma" w:cs="Tahoma"/>
          <w:color w:val="666666"/>
          <w:sz w:val="20"/>
          <w:szCs w:val="20"/>
        </w:rPr>
        <w:t xml:space="preserve">% </w:t>
      </w:r>
      <w:r w:rsidR="00746A05">
        <w:rPr>
          <w:rFonts w:ascii="Tahoma" w:hAnsi="Tahoma" w:cs="Tahoma"/>
          <w:color w:val="666666"/>
          <w:sz w:val="20"/>
          <w:szCs w:val="20"/>
        </w:rPr>
        <w:t>до 1</w:t>
      </w:r>
      <w:r w:rsidR="000C409B">
        <w:rPr>
          <w:rFonts w:ascii="Tahoma" w:hAnsi="Tahoma" w:cs="Tahoma"/>
          <w:color w:val="666666"/>
          <w:sz w:val="20"/>
          <w:szCs w:val="20"/>
        </w:rPr>
        <w:t>8 727,8</w:t>
      </w:r>
      <w:r w:rsidR="00746A05">
        <w:rPr>
          <w:rFonts w:ascii="Tahoma" w:hAnsi="Tahoma" w:cs="Tahoma"/>
          <w:color w:val="666666"/>
          <w:sz w:val="20"/>
          <w:szCs w:val="20"/>
        </w:rPr>
        <w:t xml:space="preserve"> млрд. рублей </w:t>
      </w:r>
      <w:r w:rsidR="000C409B">
        <w:rPr>
          <w:rFonts w:ascii="Tahoma" w:hAnsi="Tahoma" w:cs="Tahoma"/>
          <w:color w:val="666666"/>
          <w:sz w:val="20"/>
          <w:szCs w:val="20"/>
        </w:rPr>
        <w:t>в 4</w:t>
      </w:r>
      <w:r>
        <w:rPr>
          <w:rFonts w:ascii="Tahoma" w:hAnsi="Tahoma" w:cs="Tahoma"/>
          <w:color w:val="666666"/>
          <w:sz w:val="20"/>
          <w:szCs w:val="20"/>
        </w:rPr>
        <w:t xml:space="preserve"> квартале 2015 года относительно </w:t>
      </w:r>
      <w:r w:rsidR="000C409B">
        <w:rPr>
          <w:rFonts w:ascii="Tahoma" w:hAnsi="Tahoma" w:cs="Tahoma"/>
          <w:color w:val="666666"/>
          <w:sz w:val="20"/>
          <w:szCs w:val="20"/>
        </w:rPr>
        <w:t>3</w:t>
      </w:r>
      <w:r>
        <w:rPr>
          <w:rFonts w:ascii="Tahoma" w:hAnsi="Tahoma" w:cs="Tahoma"/>
          <w:color w:val="666666"/>
          <w:sz w:val="20"/>
          <w:szCs w:val="20"/>
        </w:rPr>
        <w:t xml:space="preserve"> квартала 2015 года</w:t>
      </w:r>
      <w:r w:rsidR="00746A05">
        <w:rPr>
          <w:rFonts w:ascii="Tahoma" w:hAnsi="Tahoma" w:cs="Tahoma"/>
          <w:color w:val="666666"/>
          <w:sz w:val="20"/>
          <w:szCs w:val="20"/>
        </w:rPr>
        <w:t xml:space="preserve">. </w:t>
      </w:r>
      <w:r w:rsidR="00194CEB">
        <w:rPr>
          <w:rFonts w:ascii="Tahoma" w:hAnsi="Tahoma" w:cs="Tahoma"/>
          <w:color w:val="666666"/>
          <w:sz w:val="20"/>
          <w:szCs w:val="20"/>
        </w:rPr>
        <w:t>Основным фактором роста корпоративного портфеля стал</w:t>
      </w:r>
      <w:r w:rsidR="009D2F55">
        <w:rPr>
          <w:rFonts w:ascii="Tahoma" w:hAnsi="Tahoma" w:cs="Tahoma"/>
          <w:color w:val="666666"/>
          <w:sz w:val="20"/>
          <w:szCs w:val="20"/>
        </w:rPr>
        <w:t>а</w:t>
      </w:r>
      <w:r w:rsidR="00194CEB">
        <w:rPr>
          <w:rFonts w:ascii="Tahoma" w:hAnsi="Tahoma" w:cs="Tahoma"/>
          <w:color w:val="666666"/>
          <w:sz w:val="20"/>
          <w:szCs w:val="20"/>
        </w:rPr>
        <w:t xml:space="preserve"> </w:t>
      </w:r>
      <w:r w:rsidR="006A5880">
        <w:rPr>
          <w:rFonts w:ascii="Tahoma" w:hAnsi="Tahoma" w:cs="Tahoma"/>
          <w:color w:val="666666"/>
          <w:sz w:val="20"/>
          <w:szCs w:val="20"/>
        </w:rPr>
        <w:t>переоценка валютного портфеля</w:t>
      </w:r>
      <w:r w:rsidR="00194CEB">
        <w:rPr>
          <w:rFonts w:ascii="Tahoma" w:hAnsi="Tahoma" w:cs="Tahoma"/>
          <w:color w:val="666666"/>
          <w:sz w:val="20"/>
          <w:szCs w:val="20"/>
        </w:rPr>
        <w:t xml:space="preserve">. </w:t>
      </w:r>
      <w:r>
        <w:rPr>
          <w:rFonts w:ascii="Tahoma" w:hAnsi="Tahoma" w:cs="Tahoma"/>
          <w:color w:val="666666"/>
          <w:sz w:val="20"/>
          <w:szCs w:val="20"/>
        </w:rPr>
        <w:t>Качественный спрос на ипотечные кредиты способствовал росту кредитного портфеля физических лиц.</w:t>
      </w:r>
    </w:p>
    <w:p w:rsidR="00BF5A19" w:rsidRDefault="00BF5A19" w:rsidP="009F18A7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194CEB">
        <w:rPr>
          <w:rFonts w:ascii="Tahoma" w:hAnsi="Tahoma" w:cs="Tahoma"/>
          <w:b/>
          <w:color w:val="666666"/>
          <w:sz w:val="20"/>
          <w:szCs w:val="20"/>
        </w:rPr>
        <w:t>Средства клиентов</w:t>
      </w:r>
      <w:r>
        <w:rPr>
          <w:rFonts w:ascii="Tahoma" w:hAnsi="Tahoma" w:cs="Tahoma"/>
          <w:color w:val="666666"/>
          <w:sz w:val="20"/>
          <w:szCs w:val="20"/>
        </w:rPr>
        <w:t xml:space="preserve"> показали сильный рост в </w:t>
      </w:r>
      <w:r w:rsidR="000C409B">
        <w:rPr>
          <w:rFonts w:ascii="Tahoma" w:hAnsi="Tahoma" w:cs="Tahoma"/>
          <w:color w:val="666666"/>
          <w:sz w:val="20"/>
          <w:szCs w:val="20"/>
        </w:rPr>
        <w:t>4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>квартале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 xml:space="preserve"> относительно предыду</w:t>
      </w:r>
      <w:r w:rsidR="004909E7">
        <w:rPr>
          <w:rFonts w:ascii="Tahoma" w:hAnsi="Tahoma" w:cs="Tahoma"/>
          <w:color w:val="666666"/>
          <w:sz w:val="20"/>
          <w:szCs w:val="20"/>
        </w:rPr>
        <w:t xml:space="preserve">щего квартала как в розничном (рост на </w:t>
      </w:r>
      <w:r w:rsidR="000C409B">
        <w:rPr>
          <w:rFonts w:ascii="Tahoma" w:hAnsi="Tahoma" w:cs="Tahoma"/>
          <w:color w:val="666666"/>
          <w:sz w:val="20"/>
          <w:szCs w:val="20"/>
        </w:rPr>
        <w:t>10,6</w:t>
      </w:r>
      <w:r w:rsidR="004909E7">
        <w:rPr>
          <w:rFonts w:ascii="Tahoma" w:hAnsi="Tahoma" w:cs="Tahoma"/>
          <w:color w:val="666666"/>
          <w:sz w:val="20"/>
          <w:szCs w:val="20"/>
        </w:rPr>
        <w:t xml:space="preserve">%), так и в корпоративном (рост на </w:t>
      </w:r>
      <w:r w:rsidR="000C409B">
        <w:rPr>
          <w:rFonts w:ascii="Tahoma" w:hAnsi="Tahoma" w:cs="Tahoma"/>
          <w:color w:val="666666"/>
          <w:sz w:val="20"/>
          <w:szCs w:val="20"/>
        </w:rPr>
        <w:t>4,9</w:t>
      </w:r>
      <w:r>
        <w:rPr>
          <w:rFonts w:ascii="Tahoma" w:hAnsi="Tahoma" w:cs="Tahoma"/>
          <w:color w:val="666666"/>
          <w:sz w:val="20"/>
          <w:szCs w:val="20"/>
        </w:rPr>
        <w:t>%) сегмент</w:t>
      </w:r>
      <w:r w:rsidR="00194CEB">
        <w:rPr>
          <w:rFonts w:ascii="Tahoma" w:hAnsi="Tahoma" w:cs="Tahoma"/>
          <w:color w:val="666666"/>
          <w:sz w:val="20"/>
          <w:szCs w:val="20"/>
        </w:rPr>
        <w:t>ах</w:t>
      </w:r>
      <w:r>
        <w:rPr>
          <w:rFonts w:ascii="Tahoma" w:hAnsi="Tahoma" w:cs="Tahoma"/>
          <w:color w:val="666666"/>
          <w:sz w:val="20"/>
          <w:szCs w:val="20"/>
        </w:rPr>
        <w:t xml:space="preserve">. Средства на текущих счетах клиентов увеличились на </w:t>
      </w:r>
      <w:r w:rsidR="000C409B">
        <w:rPr>
          <w:rFonts w:ascii="Tahoma" w:hAnsi="Tahoma" w:cs="Tahoma"/>
          <w:color w:val="666666"/>
          <w:sz w:val="20"/>
          <w:szCs w:val="20"/>
        </w:rPr>
        <w:t>7,5</w:t>
      </w:r>
      <w:r>
        <w:rPr>
          <w:rFonts w:ascii="Tahoma" w:hAnsi="Tahoma" w:cs="Tahoma"/>
          <w:color w:val="666666"/>
          <w:sz w:val="20"/>
          <w:szCs w:val="20"/>
        </w:rPr>
        <w:t>% за тот же период.</w:t>
      </w:r>
    </w:p>
    <w:p w:rsidR="00BF5A19" w:rsidRDefault="00BF5A19" w:rsidP="009F18A7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194CEB">
        <w:rPr>
          <w:rFonts w:ascii="Tahoma" w:hAnsi="Tahoma" w:cs="Tahoma"/>
          <w:b/>
          <w:color w:val="666666"/>
          <w:sz w:val="20"/>
          <w:szCs w:val="20"/>
        </w:rPr>
        <w:t xml:space="preserve">Доля </w:t>
      </w:r>
      <w:r w:rsidR="00217976">
        <w:rPr>
          <w:rFonts w:ascii="Tahoma" w:hAnsi="Tahoma" w:cs="Tahoma"/>
          <w:b/>
          <w:color w:val="666666"/>
          <w:sz w:val="20"/>
          <w:szCs w:val="20"/>
        </w:rPr>
        <w:t xml:space="preserve">неработающих кредитов в </w:t>
      </w:r>
      <w:r w:rsidRPr="00194CEB">
        <w:rPr>
          <w:rFonts w:ascii="Tahoma" w:hAnsi="Tahoma" w:cs="Tahoma"/>
          <w:b/>
          <w:color w:val="666666"/>
          <w:sz w:val="20"/>
          <w:szCs w:val="20"/>
        </w:rPr>
        <w:t xml:space="preserve">кредитном </w:t>
      </w:r>
      <w:proofErr w:type="gramStart"/>
      <w:r w:rsidRPr="00194CEB">
        <w:rPr>
          <w:rFonts w:ascii="Tahoma" w:hAnsi="Tahoma" w:cs="Tahoma"/>
          <w:b/>
          <w:color w:val="666666"/>
          <w:sz w:val="20"/>
          <w:szCs w:val="20"/>
        </w:rPr>
        <w:t>портфеле</w:t>
      </w:r>
      <w:proofErr w:type="gramEnd"/>
      <w:r w:rsidRPr="003147CB">
        <w:rPr>
          <w:rFonts w:ascii="Tahoma" w:hAnsi="Tahoma" w:cs="Tahoma"/>
          <w:color w:val="666666"/>
          <w:sz w:val="20"/>
          <w:szCs w:val="20"/>
        </w:rPr>
        <w:t xml:space="preserve"> за </w:t>
      </w:r>
      <w:r w:rsidR="008D19AA">
        <w:rPr>
          <w:rFonts w:ascii="Tahoma" w:hAnsi="Tahoma" w:cs="Tahoma"/>
          <w:color w:val="666666"/>
          <w:sz w:val="20"/>
          <w:szCs w:val="20"/>
        </w:rPr>
        <w:t>4</w:t>
      </w:r>
      <w:r w:rsidRPr="003147CB">
        <w:rPr>
          <w:rFonts w:ascii="Tahoma" w:hAnsi="Tahoma" w:cs="Tahoma"/>
          <w:color w:val="666666"/>
          <w:sz w:val="20"/>
          <w:szCs w:val="20"/>
        </w:rPr>
        <w:t xml:space="preserve"> квартал </w:t>
      </w:r>
      <w:r w:rsidR="008D19AA">
        <w:rPr>
          <w:rFonts w:ascii="Tahoma" w:hAnsi="Tahoma" w:cs="Tahoma"/>
          <w:color w:val="666666"/>
          <w:sz w:val="20"/>
          <w:szCs w:val="20"/>
        </w:rPr>
        <w:t>снизилась</w:t>
      </w:r>
      <w:r w:rsidRPr="003147CB">
        <w:rPr>
          <w:rFonts w:ascii="Tahoma" w:hAnsi="Tahoma" w:cs="Tahoma"/>
          <w:color w:val="666666"/>
          <w:sz w:val="20"/>
          <w:szCs w:val="20"/>
        </w:rPr>
        <w:t xml:space="preserve"> до 5,</w:t>
      </w:r>
      <w:r w:rsidR="008D19AA">
        <w:rPr>
          <w:rFonts w:ascii="Tahoma" w:hAnsi="Tahoma" w:cs="Tahoma"/>
          <w:color w:val="666666"/>
          <w:sz w:val="20"/>
          <w:szCs w:val="20"/>
        </w:rPr>
        <w:t>0</w:t>
      </w:r>
      <w:r w:rsidRPr="003147CB">
        <w:rPr>
          <w:rFonts w:ascii="Tahoma" w:hAnsi="Tahoma" w:cs="Tahoma"/>
          <w:color w:val="666666"/>
          <w:sz w:val="20"/>
          <w:szCs w:val="20"/>
        </w:rPr>
        <w:t xml:space="preserve">% с </w:t>
      </w:r>
      <w:r w:rsidR="008D19AA">
        <w:rPr>
          <w:rFonts w:ascii="Tahoma" w:hAnsi="Tahoma" w:cs="Tahoma"/>
          <w:color w:val="666666"/>
          <w:sz w:val="20"/>
          <w:szCs w:val="20"/>
        </w:rPr>
        <w:t>5,4</w:t>
      </w:r>
      <w:r w:rsidRPr="003147CB">
        <w:rPr>
          <w:rFonts w:ascii="Tahoma" w:hAnsi="Tahoma" w:cs="Tahoma"/>
          <w:color w:val="666666"/>
          <w:sz w:val="20"/>
          <w:szCs w:val="20"/>
        </w:rPr>
        <w:t>% за предыдущий квартал 2015 года</w:t>
      </w:r>
      <w:r w:rsidR="00194CEB">
        <w:rPr>
          <w:rFonts w:ascii="Tahoma" w:hAnsi="Tahoma" w:cs="Tahoma"/>
          <w:color w:val="666666"/>
          <w:sz w:val="20"/>
          <w:szCs w:val="20"/>
        </w:rPr>
        <w:t xml:space="preserve"> в основном за счет корпоративного сегмента.</w:t>
      </w:r>
      <w:r w:rsidRPr="003147CB">
        <w:rPr>
          <w:rFonts w:ascii="Tahoma" w:hAnsi="Tahoma" w:cs="Tahoma"/>
          <w:color w:val="666666"/>
          <w:sz w:val="20"/>
          <w:szCs w:val="20"/>
        </w:rPr>
        <w:t xml:space="preserve"> </w:t>
      </w:r>
      <w:r>
        <w:rPr>
          <w:rFonts w:ascii="Tahoma" w:hAnsi="Tahoma" w:cs="Tahoma"/>
          <w:color w:val="666666"/>
          <w:sz w:val="20"/>
          <w:szCs w:val="20"/>
        </w:rPr>
        <w:t xml:space="preserve">Созданные на балансе резервы превысили </w:t>
      </w:r>
      <w:r w:rsidR="00CE76F5">
        <w:rPr>
          <w:rFonts w:ascii="Tahoma" w:hAnsi="Tahoma" w:cs="Tahoma"/>
          <w:color w:val="666666"/>
          <w:sz w:val="20"/>
          <w:szCs w:val="20"/>
        </w:rPr>
        <w:t xml:space="preserve">объем неработающих кредитов </w:t>
      </w:r>
      <w:r>
        <w:rPr>
          <w:rFonts w:ascii="Tahoma" w:hAnsi="Tahoma" w:cs="Tahoma"/>
          <w:color w:val="666666"/>
          <w:sz w:val="20"/>
          <w:szCs w:val="20"/>
        </w:rPr>
        <w:t>в 1,</w:t>
      </w:r>
      <w:r w:rsidR="008D19AA">
        <w:rPr>
          <w:rFonts w:ascii="Tahoma" w:hAnsi="Tahoma" w:cs="Tahoma"/>
          <w:color w:val="666666"/>
          <w:sz w:val="20"/>
          <w:szCs w:val="20"/>
        </w:rPr>
        <w:t>2</w:t>
      </w:r>
      <w:r>
        <w:rPr>
          <w:rFonts w:ascii="Tahoma" w:hAnsi="Tahoma" w:cs="Tahoma"/>
          <w:color w:val="666666"/>
          <w:sz w:val="20"/>
          <w:szCs w:val="20"/>
        </w:rPr>
        <w:t xml:space="preserve"> раза в </w:t>
      </w:r>
      <w:r w:rsidR="008D19AA">
        <w:rPr>
          <w:rFonts w:ascii="Tahoma" w:hAnsi="Tahoma" w:cs="Tahoma"/>
          <w:color w:val="666666"/>
          <w:sz w:val="20"/>
          <w:szCs w:val="20"/>
        </w:rPr>
        <w:t>4</w:t>
      </w:r>
      <w:r>
        <w:rPr>
          <w:rFonts w:ascii="Tahoma" w:hAnsi="Tahoma" w:cs="Tahoma"/>
          <w:color w:val="666666"/>
          <w:sz w:val="20"/>
          <w:szCs w:val="20"/>
        </w:rPr>
        <w:t xml:space="preserve"> кварта</w:t>
      </w:r>
      <w:r w:rsidR="00BF3BB2">
        <w:rPr>
          <w:rFonts w:ascii="Tahoma" w:hAnsi="Tahoma" w:cs="Tahoma"/>
          <w:color w:val="666666"/>
          <w:sz w:val="20"/>
          <w:szCs w:val="20"/>
        </w:rPr>
        <w:t>ле 2015 года по сравнению с 1,</w:t>
      </w:r>
      <w:r w:rsidR="008D19AA">
        <w:rPr>
          <w:rFonts w:ascii="Tahoma" w:hAnsi="Tahoma" w:cs="Tahoma"/>
          <w:color w:val="666666"/>
          <w:sz w:val="20"/>
          <w:szCs w:val="20"/>
        </w:rPr>
        <w:t>1</w:t>
      </w:r>
      <w:r>
        <w:rPr>
          <w:rFonts w:ascii="Tahoma" w:hAnsi="Tahoma" w:cs="Tahoma"/>
          <w:color w:val="666666"/>
          <w:sz w:val="20"/>
          <w:szCs w:val="20"/>
        </w:rPr>
        <w:t xml:space="preserve"> раза в предыдущем квартале. </w:t>
      </w:r>
    </w:p>
    <w:p w:rsidR="00345061" w:rsidRDefault="00BF5A19" w:rsidP="00DB252F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b/>
          <w:color w:val="666666"/>
          <w:sz w:val="20"/>
          <w:szCs w:val="20"/>
        </w:rPr>
      </w:pPr>
      <w:r w:rsidRPr="0020760C">
        <w:rPr>
          <w:rFonts w:ascii="Tahoma" w:hAnsi="Tahoma" w:cs="Tahoma"/>
          <w:b/>
          <w:color w:val="666666"/>
          <w:sz w:val="20"/>
          <w:szCs w:val="20"/>
        </w:rPr>
        <w:t>Портфель реструктурированных кредитов</w:t>
      </w:r>
      <w:r>
        <w:rPr>
          <w:rFonts w:ascii="Tahoma" w:hAnsi="Tahoma" w:cs="Tahoma"/>
          <w:color w:val="666666"/>
          <w:sz w:val="20"/>
          <w:szCs w:val="20"/>
        </w:rPr>
        <w:t xml:space="preserve"> </w:t>
      </w:r>
      <w:r w:rsidR="006A5880">
        <w:rPr>
          <w:rFonts w:ascii="Tahoma" w:hAnsi="Tahoma" w:cs="Tahoma"/>
          <w:color w:val="666666"/>
          <w:sz w:val="20"/>
          <w:szCs w:val="20"/>
        </w:rPr>
        <w:t xml:space="preserve">оставался стабильным на уровне </w:t>
      </w:r>
      <w:r w:rsidR="00D76009">
        <w:rPr>
          <w:rFonts w:ascii="Tahoma" w:hAnsi="Tahoma" w:cs="Tahoma"/>
          <w:color w:val="666666"/>
          <w:sz w:val="20"/>
          <w:szCs w:val="20"/>
        </w:rPr>
        <w:t xml:space="preserve">около </w:t>
      </w:r>
      <w:r w:rsidR="006A5880">
        <w:rPr>
          <w:rFonts w:ascii="Tahoma" w:hAnsi="Tahoma" w:cs="Tahoma"/>
          <w:color w:val="666666"/>
          <w:sz w:val="20"/>
          <w:szCs w:val="20"/>
        </w:rPr>
        <w:t xml:space="preserve">17% от общего портфеля в 4 квартале 2015 относительно 3 квартала 2015 года и составил </w:t>
      </w:r>
      <w:r w:rsidR="008D19AA">
        <w:rPr>
          <w:rFonts w:ascii="Tahoma" w:hAnsi="Tahoma" w:cs="Tahoma"/>
          <w:color w:val="666666"/>
          <w:sz w:val="20"/>
          <w:szCs w:val="20"/>
        </w:rPr>
        <w:t>3,4</w:t>
      </w:r>
      <w:r>
        <w:rPr>
          <w:rFonts w:ascii="Tahoma" w:hAnsi="Tahoma" w:cs="Tahoma"/>
          <w:color w:val="666666"/>
          <w:sz w:val="20"/>
          <w:szCs w:val="20"/>
        </w:rPr>
        <w:t xml:space="preserve"> трлн. руб.</w:t>
      </w:r>
      <w:r w:rsidR="006A5880">
        <w:rPr>
          <w:rFonts w:ascii="Tahoma" w:hAnsi="Tahoma" w:cs="Tahoma"/>
          <w:color w:val="666666"/>
          <w:sz w:val="20"/>
          <w:szCs w:val="20"/>
        </w:rPr>
        <w:t xml:space="preserve"> </w:t>
      </w:r>
      <w:r w:rsidR="00DB252F">
        <w:rPr>
          <w:rFonts w:ascii="Tahoma" w:hAnsi="Tahoma" w:cs="Tahoma"/>
          <w:color w:val="666666"/>
          <w:sz w:val="20"/>
          <w:szCs w:val="20"/>
        </w:rPr>
        <w:t>Квартальная динамика качества реструктурированных кредитов обуслов</w:t>
      </w:r>
      <w:r w:rsidR="0053338A">
        <w:rPr>
          <w:rFonts w:ascii="Tahoma" w:hAnsi="Tahoma" w:cs="Tahoma"/>
          <w:color w:val="666666"/>
          <w:sz w:val="20"/>
          <w:szCs w:val="20"/>
        </w:rPr>
        <w:t>лена макроэкономической ситуацией</w:t>
      </w:r>
      <w:r w:rsidR="00DB252F">
        <w:rPr>
          <w:rFonts w:ascii="Tahoma" w:hAnsi="Tahoma" w:cs="Tahoma"/>
          <w:color w:val="666666"/>
          <w:sz w:val="20"/>
          <w:szCs w:val="20"/>
        </w:rPr>
        <w:t xml:space="preserve">, что отразилось в незначительном росте доли </w:t>
      </w:r>
      <w:r w:rsidR="00CE76F5">
        <w:rPr>
          <w:rFonts w:ascii="Tahoma" w:hAnsi="Tahoma" w:cs="Tahoma"/>
          <w:color w:val="666666"/>
          <w:sz w:val="20"/>
          <w:szCs w:val="20"/>
        </w:rPr>
        <w:t xml:space="preserve">неработающих кредитов </w:t>
      </w:r>
      <w:r w:rsidR="00DB252F">
        <w:rPr>
          <w:rFonts w:ascii="Tahoma" w:hAnsi="Tahoma" w:cs="Tahoma"/>
          <w:color w:val="666666"/>
          <w:sz w:val="20"/>
          <w:szCs w:val="20"/>
        </w:rPr>
        <w:t xml:space="preserve">в реструктурированном портфеле с 10,3% до 11,0%. </w:t>
      </w:r>
    </w:p>
    <w:p w:rsidR="00BF5A19" w:rsidRPr="00927B60" w:rsidRDefault="00927B60" w:rsidP="00BD09A1">
      <w:pPr>
        <w:shd w:val="clear" w:color="auto" w:fill="FFFFFF"/>
        <w:spacing w:before="100" w:beforeAutospacing="1" w:after="100" w:afterAutospacing="1" w:line="255" w:lineRule="atLeast"/>
        <w:jc w:val="both"/>
        <w:rPr>
          <w:rFonts w:ascii="Tahoma" w:hAnsi="Tahoma" w:cs="Tahoma"/>
          <w:b/>
          <w:color w:val="666666"/>
          <w:sz w:val="20"/>
          <w:szCs w:val="20"/>
        </w:rPr>
      </w:pPr>
      <w:r>
        <w:rPr>
          <w:rFonts w:ascii="Tahoma" w:hAnsi="Tahoma" w:cs="Tahoma"/>
          <w:b/>
          <w:color w:val="666666"/>
          <w:sz w:val="20"/>
          <w:szCs w:val="20"/>
        </w:rPr>
        <w:t>Основные показатели отчета об изменениях в составе собственных средств</w:t>
      </w:r>
    </w:p>
    <w:tbl>
      <w:tblPr>
        <w:tblStyle w:val="-30"/>
        <w:tblW w:w="1018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708"/>
        <w:gridCol w:w="1296"/>
        <w:gridCol w:w="1296"/>
        <w:gridCol w:w="1296"/>
        <w:gridCol w:w="1242"/>
        <w:gridCol w:w="1350"/>
      </w:tblGrid>
      <w:tr w:rsidR="00CA5C6F" w:rsidRPr="00CA5C6F" w:rsidTr="003450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CA5C6F" w:rsidRPr="00CA5C6F" w:rsidRDefault="00CA5C6F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Согласно Базель </w:t>
            </w: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>I</w:t>
            </w:r>
          </w:p>
          <w:p w:rsidR="00CA5C6F" w:rsidRPr="00983E33" w:rsidRDefault="00CA5C6F" w:rsidP="00BD09A1">
            <w:pP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</w:pPr>
            <w:r w:rsidRPr="00983E33">
              <w:rPr>
                <w:rStyle w:val="a3"/>
                <w:rFonts w:ascii="Tahoma" w:hAnsi="Tahoma" w:cs="Tahoma"/>
                <w:i/>
                <w:color w:val="666666"/>
                <w:sz w:val="20"/>
                <w:szCs w:val="20"/>
              </w:rPr>
              <w:t>Млрд. руб., если не указано иное</w:t>
            </w:r>
          </w:p>
        </w:tc>
        <w:tc>
          <w:tcPr>
            <w:tcW w:w="1296" w:type="dxa"/>
          </w:tcPr>
          <w:p w:rsidR="00CA5C6F" w:rsidRPr="000D3DAE" w:rsidRDefault="000A1412" w:rsidP="000A141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3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1</w:t>
            </w:r>
            <w:r w:rsidR="00CA5C6F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/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12</w:t>
            </w:r>
            <w:r w:rsidR="00CA5C6F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/1</w:t>
            </w:r>
            <w:r w:rsidR="00CA5C6F" w:rsidRPr="000D3DA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5</w:t>
            </w:r>
          </w:p>
        </w:tc>
        <w:tc>
          <w:tcPr>
            <w:tcW w:w="1296" w:type="dxa"/>
          </w:tcPr>
          <w:p w:rsidR="00CA5C6F" w:rsidRPr="000D3DAE" w:rsidRDefault="00CA5C6F" w:rsidP="000A141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30/0</w:t>
            </w:r>
            <w:r w:rsidR="000A1412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  <w:t>9</w:t>
            </w: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/</w:t>
            </w:r>
            <w:r w:rsidRPr="000D3DA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15</w:t>
            </w:r>
          </w:p>
        </w:tc>
        <w:tc>
          <w:tcPr>
            <w:tcW w:w="1296" w:type="dxa"/>
          </w:tcPr>
          <w:p w:rsidR="00CA5C6F" w:rsidRPr="000D3DAE" w:rsidRDefault="00CA5C6F" w:rsidP="004B0A7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31/12/</w:t>
            </w:r>
            <w:r w:rsidRPr="000D3DAE"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  <w:t>14</w:t>
            </w:r>
          </w:p>
        </w:tc>
        <w:tc>
          <w:tcPr>
            <w:tcW w:w="1242" w:type="dxa"/>
          </w:tcPr>
          <w:p w:rsidR="00CA5C6F" w:rsidRPr="000D3DAE" w:rsidRDefault="000A1412" w:rsidP="000A141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12</w:t>
            </w:r>
            <w:r w:rsidR="00CA5C6F" w:rsidRPr="000D3DA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M-</w:t>
            </w: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9</w:t>
            </w:r>
            <w:r w:rsidR="00CA5C6F" w:rsidRPr="000D3DA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 2015</w:t>
            </w:r>
          </w:p>
        </w:tc>
        <w:tc>
          <w:tcPr>
            <w:tcW w:w="1350" w:type="dxa"/>
          </w:tcPr>
          <w:p w:rsidR="00CA5C6F" w:rsidRPr="000D3DAE" w:rsidRDefault="000A1412" w:rsidP="00857F6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</w:rPr>
              <w:t>12</w:t>
            </w:r>
            <w:r w:rsidR="00CA5C6F" w:rsidRPr="000D3DAE">
              <w:rPr>
                <w:rStyle w:val="a3"/>
                <w:rFonts w:ascii="Tahoma" w:hAnsi="Tahoma" w:cs="Tahoma"/>
                <w:b/>
                <w:i/>
                <w:color w:val="666666"/>
                <w:sz w:val="20"/>
                <w:szCs w:val="20"/>
                <w:lang w:val="en-US"/>
              </w:rPr>
              <w:t>M15-12M14</w:t>
            </w:r>
          </w:p>
        </w:tc>
      </w:tr>
      <w:tr w:rsidR="00BF5A19" w:rsidRPr="00CA5C6F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BF5A19" w:rsidRPr="00CA5C6F" w:rsidRDefault="00BF5A19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Капитал 1-го уровня</w:t>
            </w: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96" w:type="dxa"/>
            <w:shd w:val="clear" w:color="auto" w:fill="D6E3BC" w:themeFill="accent3" w:themeFillTint="66"/>
          </w:tcPr>
          <w:p w:rsidR="00BF5A19" w:rsidRPr="000A1412" w:rsidRDefault="00BF5A19" w:rsidP="000A14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 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226,7</w:t>
            </w:r>
          </w:p>
        </w:tc>
        <w:tc>
          <w:tcPr>
            <w:tcW w:w="1296" w:type="dxa"/>
            <w:shd w:val="clear" w:color="auto" w:fill="D6E3BC" w:themeFill="accent3" w:themeFillTint="66"/>
          </w:tcPr>
          <w:p w:rsidR="00BF5A19" w:rsidRPr="000A1412" w:rsidRDefault="000A141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2 150,8</w:t>
            </w:r>
          </w:p>
        </w:tc>
        <w:tc>
          <w:tcPr>
            <w:tcW w:w="1296" w:type="dxa"/>
            <w:shd w:val="clear" w:color="auto" w:fill="D6E3BC" w:themeFill="accent3" w:themeFillTint="66"/>
          </w:tcPr>
          <w:p w:rsidR="00BF5A19" w:rsidRPr="00CA5C6F" w:rsidRDefault="00BF5A19" w:rsidP="00983E33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2 00</w:t>
            </w:r>
            <w:r w:rsidR="00983E33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7,8</w:t>
            </w:r>
          </w:p>
        </w:tc>
        <w:tc>
          <w:tcPr>
            <w:tcW w:w="1242" w:type="dxa"/>
            <w:shd w:val="clear" w:color="auto" w:fill="D6E3BC" w:themeFill="accent3" w:themeFillTint="66"/>
          </w:tcPr>
          <w:p w:rsidR="00BF5A19" w:rsidRPr="00CA5C6F" w:rsidRDefault="00BF5A19" w:rsidP="000A14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</w:t>
            </w:r>
            <w:r w:rsid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5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0" w:type="dxa"/>
            <w:shd w:val="clear" w:color="auto" w:fill="D6E3BC" w:themeFill="accent3" w:themeFillTint="66"/>
          </w:tcPr>
          <w:p w:rsidR="00BF5A19" w:rsidRPr="00CA5C6F" w:rsidRDefault="000A141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10,9</w:t>
            </w:r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BF5A19" w:rsidRPr="00CA5C6F" w:rsidTr="0034506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BF5A19" w:rsidRPr="00CA5C6F" w:rsidRDefault="00BF5A19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Общий капитал</w:t>
            </w:r>
          </w:p>
        </w:tc>
        <w:tc>
          <w:tcPr>
            <w:tcW w:w="1296" w:type="dxa"/>
          </w:tcPr>
          <w:p w:rsidR="00BF5A19" w:rsidRPr="000A1412" w:rsidRDefault="00BF5A19" w:rsidP="000A14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 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151,2</w:t>
            </w:r>
          </w:p>
        </w:tc>
        <w:tc>
          <w:tcPr>
            <w:tcW w:w="1296" w:type="dxa"/>
          </w:tcPr>
          <w:p w:rsidR="00BF5A19" w:rsidRPr="000A1412" w:rsidRDefault="000A141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3 046,7</w:t>
            </w:r>
          </w:p>
        </w:tc>
        <w:tc>
          <w:tcPr>
            <w:tcW w:w="1296" w:type="dxa"/>
          </w:tcPr>
          <w:p w:rsidR="00BF5A19" w:rsidRPr="00CA5C6F" w:rsidRDefault="00BF5A19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2 835</w:t>
            </w:r>
            <w:r w:rsid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3</w:t>
            </w:r>
          </w:p>
        </w:tc>
        <w:tc>
          <w:tcPr>
            <w:tcW w:w="1242" w:type="dxa"/>
          </w:tcPr>
          <w:p w:rsidR="00BF5A19" w:rsidRPr="00CA5C6F" w:rsidRDefault="000A141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3,4</w:t>
            </w:r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0" w:type="dxa"/>
          </w:tcPr>
          <w:p w:rsidR="00BF5A19" w:rsidRPr="00CA5C6F" w:rsidRDefault="000A141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11,1</w:t>
            </w:r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BF5A19" w:rsidRPr="00CA5C6F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BF5A19" w:rsidRPr="00CA5C6F" w:rsidRDefault="00BF5A19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Активы, взвешенные с учетом риска </w:t>
            </w:r>
          </w:p>
        </w:tc>
        <w:tc>
          <w:tcPr>
            <w:tcW w:w="1296" w:type="dxa"/>
            <w:shd w:val="clear" w:color="auto" w:fill="D6E3BC" w:themeFill="accent3" w:themeFillTint="66"/>
          </w:tcPr>
          <w:p w:rsidR="00BF5A19" w:rsidRPr="000A1412" w:rsidRDefault="000A141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24 995,5</w:t>
            </w:r>
          </w:p>
        </w:tc>
        <w:tc>
          <w:tcPr>
            <w:tcW w:w="1296" w:type="dxa"/>
            <w:shd w:val="clear" w:color="auto" w:fill="D6E3BC" w:themeFill="accent3" w:themeFillTint="66"/>
          </w:tcPr>
          <w:p w:rsidR="00BF5A19" w:rsidRPr="000A1412" w:rsidRDefault="000A141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23 618,8</w:t>
            </w:r>
          </w:p>
        </w:tc>
        <w:tc>
          <w:tcPr>
            <w:tcW w:w="1296" w:type="dxa"/>
            <w:shd w:val="clear" w:color="auto" w:fill="D6E3BC" w:themeFill="accent3" w:themeFillTint="66"/>
          </w:tcPr>
          <w:p w:rsidR="00BF5A19" w:rsidRPr="00CA5C6F" w:rsidRDefault="00BF5A19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23 365</w:t>
            </w:r>
            <w:r w:rsid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0</w:t>
            </w:r>
          </w:p>
        </w:tc>
        <w:tc>
          <w:tcPr>
            <w:tcW w:w="1242" w:type="dxa"/>
            <w:shd w:val="clear" w:color="auto" w:fill="D6E3BC" w:themeFill="accent3" w:themeFillTint="66"/>
          </w:tcPr>
          <w:p w:rsidR="00BF5A19" w:rsidRPr="00CA5C6F" w:rsidRDefault="000A141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5,8</w:t>
            </w:r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0" w:type="dxa"/>
            <w:shd w:val="clear" w:color="auto" w:fill="D6E3BC" w:themeFill="accent3" w:themeFillTint="66"/>
          </w:tcPr>
          <w:p w:rsidR="00BF5A19" w:rsidRPr="00CA5C6F" w:rsidRDefault="000A141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7,0</w:t>
            </w:r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BF5A19" w:rsidRPr="00CA5C6F" w:rsidTr="0034506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BF5A19" w:rsidRPr="00CA5C6F" w:rsidRDefault="00927B60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Собственные средства</w:t>
            </w:r>
          </w:p>
        </w:tc>
        <w:tc>
          <w:tcPr>
            <w:tcW w:w="1296" w:type="dxa"/>
          </w:tcPr>
          <w:p w:rsidR="00BF5A19" w:rsidRPr="000A1412" w:rsidRDefault="00BF5A19" w:rsidP="000A14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 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375,0</w:t>
            </w:r>
          </w:p>
        </w:tc>
        <w:tc>
          <w:tcPr>
            <w:tcW w:w="1296" w:type="dxa"/>
          </w:tcPr>
          <w:p w:rsidR="00BF5A19" w:rsidRPr="000A1412" w:rsidRDefault="000A141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2 242,7</w:t>
            </w:r>
          </w:p>
        </w:tc>
        <w:tc>
          <w:tcPr>
            <w:tcW w:w="1296" w:type="dxa"/>
          </w:tcPr>
          <w:p w:rsidR="00BF5A19" w:rsidRPr="00CA5C6F" w:rsidRDefault="00BF5A19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2 020</w:t>
            </w:r>
            <w:r w:rsid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</w:p>
        </w:tc>
        <w:tc>
          <w:tcPr>
            <w:tcW w:w="1242" w:type="dxa"/>
          </w:tcPr>
          <w:p w:rsidR="00BF5A19" w:rsidRPr="00CA5C6F" w:rsidRDefault="000A141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5,9</w:t>
            </w:r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350" w:type="dxa"/>
          </w:tcPr>
          <w:p w:rsidR="00BF5A19" w:rsidRPr="00CA5C6F" w:rsidRDefault="000A1412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7,6</w:t>
            </w:r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</w:tr>
      <w:tr w:rsidR="00BF5A19" w:rsidRPr="00CA5C6F" w:rsidTr="00B1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D6E3BC" w:themeFill="accent3" w:themeFillTint="66"/>
          </w:tcPr>
          <w:p w:rsidR="00BF5A19" w:rsidRPr="00CA5C6F" w:rsidRDefault="00927B60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Коэффициент достаточности основного капитала</w:t>
            </w:r>
          </w:p>
        </w:tc>
        <w:tc>
          <w:tcPr>
            <w:tcW w:w="1296" w:type="dxa"/>
            <w:shd w:val="clear" w:color="auto" w:fill="D6E3BC" w:themeFill="accent3" w:themeFillTint="66"/>
          </w:tcPr>
          <w:p w:rsidR="00BF5A19" w:rsidRPr="00CA5C6F" w:rsidRDefault="000A1412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8,9</w:t>
            </w:r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96" w:type="dxa"/>
            <w:shd w:val="clear" w:color="auto" w:fill="D6E3BC" w:themeFill="accent3" w:themeFillTint="66"/>
          </w:tcPr>
          <w:p w:rsidR="00BF5A19" w:rsidRPr="00CA5C6F" w:rsidRDefault="00BF5A19" w:rsidP="000A14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9</w:t>
            </w:r>
            <w:r w:rsid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1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96" w:type="dxa"/>
            <w:shd w:val="clear" w:color="auto" w:fill="D6E3BC" w:themeFill="accent3" w:themeFillTint="66"/>
          </w:tcPr>
          <w:p w:rsidR="00BF5A19" w:rsidRPr="00CA5C6F" w:rsidRDefault="00BF5A19" w:rsidP="00BD09A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8</w:t>
            </w:r>
            <w:r w:rsid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6%</w:t>
            </w:r>
          </w:p>
        </w:tc>
        <w:tc>
          <w:tcPr>
            <w:tcW w:w="1242" w:type="dxa"/>
            <w:shd w:val="clear" w:color="auto" w:fill="D6E3BC" w:themeFill="accent3" w:themeFillTint="66"/>
          </w:tcPr>
          <w:p w:rsidR="00BF5A19" w:rsidRPr="00CA5C6F" w:rsidRDefault="00CA5C6F" w:rsidP="000A14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(0</w:t>
            </w:r>
            <w:proofErr w:type="gramStart"/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</w:t>
            </w:r>
            <w:proofErr w:type="gramEnd"/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.)</w:t>
            </w:r>
          </w:p>
        </w:tc>
        <w:tc>
          <w:tcPr>
            <w:tcW w:w="1350" w:type="dxa"/>
            <w:shd w:val="clear" w:color="auto" w:fill="D6E3BC" w:themeFill="accent3" w:themeFillTint="66"/>
          </w:tcPr>
          <w:p w:rsidR="00BF5A19" w:rsidRPr="00CA5C6F" w:rsidRDefault="00BF5A19" w:rsidP="00CA5C6F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0</w:t>
            </w:r>
            <w:r w:rsid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.</w:t>
            </w:r>
          </w:p>
        </w:tc>
      </w:tr>
      <w:tr w:rsidR="00BF5A19" w:rsidRPr="00CA5C6F" w:rsidTr="0034506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</w:tcPr>
          <w:p w:rsidR="00BF5A19" w:rsidRPr="00CA5C6F" w:rsidRDefault="00927B60" w:rsidP="00BD09A1">
            <w:pPr>
              <w:rPr>
                <w:rStyle w:val="a3"/>
                <w:rFonts w:ascii="Tahoma" w:hAnsi="Tahoma" w:cs="Tahoma"/>
                <w:b/>
                <w:color w:val="666666"/>
                <w:sz w:val="20"/>
                <w:szCs w:val="20"/>
              </w:rPr>
            </w:pPr>
            <w:r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>Коэффициент достаточности общего капитала</w:t>
            </w:r>
            <w:r w:rsidR="00BF5A19" w:rsidRPr="00CA5C6F">
              <w:rPr>
                <w:rStyle w:val="a3"/>
                <w:rFonts w:ascii="Tahoma" w:hAnsi="Tahoma" w:cs="Tahoma"/>
                <w:color w:val="666666"/>
                <w:sz w:val="20"/>
                <w:szCs w:val="20"/>
              </w:rPr>
              <w:t xml:space="preserve"> </w:t>
            </w:r>
          </w:p>
        </w:tc>
        <w:tc>
          <w:tcPr>
            <w:tcW w:w="1296" w:type="dxa"/>
          </w:tcPr>
          <w:p w:rsidR="00BF5A19" w:rsidRPr="00CA5C6F" w:rsidRDefault="00BF5A19" w:rsidP="000A14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12</w:t>
            </w:r>
            <w:r w:rsid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6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96" w:type="dxa"/>
          </w:tcPr>
          <w:p w:rsidR="00BF5A19" w:rsidRPr="00CA5C6F" w:rsidRDefault="00BF5A19" w:rsidP="000A14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2,9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%</w:t>
            </w:r>
          </w:p>
        </w:tc>
        <w:tc>
          <w:tcPr>
            <w:tcW w:w="1296" w:type="dxa"/>
          </w:tcPr>
          <w:p w:rsidR="00BF5A19" w:rsidRPr="00CA5C6F" w:rsidRDefault="00BF5A19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12</w:t>
            </w:r>
            <w:r w:rsid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1%</w:t>
            </w:r>
          </w:p>
        </w:tc>
        <w:tc>
          <w:tcPr>
            <w:tcW w:w="1242" w:type="dxa"/>
          </w:tcPr>
          <w:p w:rsidR="00BF5A19" w:rsidRPr="00CA5C6F" w:rsidRDefault="00CA5C6F" w:rsidP="00BD09A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(0</w:t>
            </w:r>
            <w:proofErr w:type="gramStart"/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,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3</w:t>
            </w:r>
            <w:proofErr w:type="gramEnd"/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.)</w:t>
            </w:r>
          </w:p>
        </w:tc>
        <w:tc>
          <w:tcPr>
            <w:tcW w:w="1350" w:type="dxa"/>
          </w:tcPr>
          <w:p w:rsidR="00BF5A19" w:rsidRPr="00CA5C6F" w:rsidRDefault="00CA5C6F" w:rsidP="000A14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</w:pPr>
            <w:r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0,</w:t>
            </w:r>
            <w:r w:rsidR="000A1412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</w:rPr>
              <w:t>5</w:t>
            </w:r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п.п</w:t>
            </w:r>
            <w:proofErr w:type="spellEnd"/>
            <w:r w:rsidR="00BF5A19" w:rsidRPr="00CA5C6F">
              <w:rPr>
                <w:rStyle w:val="a3"/>
                <w:rFonts w:ascii="Tahoma" w:hAnsi="Tahoma" w:cs="Tahoma"/>
                <w:b w:val="0"/>
                <w:color w:val="666666"/>
                <w:sz w:val="20"/>
                <w:szCs w:val="20"/>
                <w:lang w:val="en-US"/>
              </w:rPr>
              <w:t>.</w:t>
            </w:r>
          </w:p>
        </w:tc>
      </w:tr>
    </w:tbl>
    <w:p w:rsidR="00BF5A19" w:rsidRDefault="00BF5A19" w:rsidP="00BD09A1">
      <w:pPr>
        <w:shd w:val="clear" w:color="auto" w:fill="FFFFFF"/>
        <w:spacing w:after="300"/>
        <w:jc w:val="both"/>
        <w:rPr>
          <w:rFonts w:ascii="Tahoma" w:hAnsi="Tahoma" w:cs="Tahoma"/>
          <w:color w:val="666666"/>
          <w:sz w:val="20"/>
          <w:szCs w:val="20"/>
        </w:rPr>
      </w:pPr>
    </w:p>
    <w:p w:rsidR="00927B60" w:rsidRDefault="00927B60" w:rsidP="001F0C11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r w:rsidRPr="0020760C">
        <w:rPr>
          <w:rFonts w:ascii="Tahoma" w:hAnsi="Tahoma" w:cs="Tahoma"/>
          <w:b/>
          <w:color w:val="666666"/>
          <w:sz w:val="20"/>
          <w:szCs w:val="20"/>
        </w:rPr>
        <w:t>Общий капитал</w:t>
      </w:r>
      <w:r>
        <w:rPr>
          <w:rFonts w:ascii="Tahoma" w:hAnsi="Tahoma" w:cs="Tahoma"/>
          <w:color w:val="666666"/>
          <w:sz w:val="20"/>
          <w:szCs w:val="20"/>
        </w:rPr>
        <w:t xml:space="preserve"> Группы </w:t>
      </w:r>
      <w:proofErr w:type="gramStart"/>
      <w:r>
        <w:rPr>
          <w:rFonts w:ascii="Tahoma" w:hAnsi="Tahoma" w:cs="Tahoma"/>
          <w:color w:val="666666"/>
          <w:sz w:val="20"/>
          <w:szCs w:val="20"/>
        </w:rPr>
        <w:t xml:space="preserve">вырос на </w:t>
      </w:r>
      <w:r w:rsidR="000A1412">
        <w:rPr>
          <w:rFonts w:ascii="Tahoma" w:hAnsi="Tahoma" w:cs="Tahoma"/>
          <w:color w:val="666666"/>
          <w:sz w:val="20"/>
          <w:szCs w:val="20"/>
        </w:rPr>
        <w:t>3,4</w:t>
      </w:r>
      <w:r>
        <w:rPr>
          <w:rFonts w:ascii="Tahoma" w:hAnsi="Tahoma" w:cs="Tahoma"/>
          <w:color w:val="666666"/>
          <w:sz w:val="20"/>
          <w:szCs w:val="20"/>
        </w:rPr>
        <w:t xml:space="preserve">% в </w:t>
      </w:r>
      <w:r w:rsidR="000A1412">
        <w:rPr>
          <w:rFonts w:ascii="Tahoma" w:hAnsi="Tahoma" w:cs="Tahoma"/>
          <w:color w:val="666666"/>
          <w:sz w:val="20"/>
          <w:szCs w:val="20"/>
        </w:rPr>
        <w:t>4</w:t>
      </w:r>
      <w:r>
        <w:rPr>
          <w:rFonts w:ascii="Tahoma" w:hAnsi="Tahoma" w:cs="Tahoma"/>
          <w:color w:val="666666"/>
          <w:sz w:val="20"/>
          <w:szCs w:val="20"/>
        </w:rPr>
        <w:t xml:space="preserve"> квартале 2015 года относительно предыдущего квартала и составил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 xml:space="preserve"> 3,</w:t>
      </w:r>
      <w:r w:rsidR="000A1412">
        <w:rPr>
          <w:rFonts w:ascii="Tahoma" w:hAnsi="Tahoma" w:cs="Tahoma"/>
          <w:color w:val="666666"/>
          <w:sz w:val="20"/>
          <w:szCs w:val="20"/>
        </w:rPr>
        <w:t>2</w:t>
      </w:r>
      <w:r>
        <w:rPr>
          <w:rFonts w:ascii="Tahoma" w:hAnsi="Tahoma" w:cs="Tahoma"/>
          <w:color w:val="666666"/>
          <w:sz w:val="20"/>
          <w:szCs w:val="20"/>
        </w:rPr>
        <w:t xml:space="preserve"> трлн. руб. в основном за счет </w:t>
      </w:r>
      <w:r w:rsidR="005158EF">
        <w:rPr>
          <w:rFonts w:ascii="Tahoma" w:hAnsi="Tahoma" w:cs="Tahoma"/>
          <w:color w:val="666666"/>
          <w:sz w:val="20"/>
          <w:szCs w:val="20"/>
        </w:rPr>
        <w:t xml:space="preserve">прибыли </w:t>
      </w:r>
      <w:r w:rsidR="005158EF" w:rsidRPr="005158EF">
        <w:rPr>
          <w:rFonts w:ascii="Tahoma" w:hAnsi="Tahoma" w:cs="Tahoma"/>
          <w:color w:val="666666"/>
          <w:sz w:val="20"/>
          <w:szCs w:val="20"/>
        </w:rPr>
        <w:t xml:space="preserve">4 </w:t>
      </w:r>
      <w:r>
        <w:rPr>
          <w:rFonts w:ascii="Tahoma" w:hAnsi="Tahoma" w:cs="Tahoma"/>
          <w:color w:val="666666"/>
          <w:sz w:val="20"/>
          <w:szCs w:val="20"/>
        </w:rPr>
        <w:t>квартал</w:t>
      </w:r>
      <w:r w:rsidR="005158EF">
        <w:rPr>
          <w:rFonts w:ascii="Tahoma" w:hAnsi="Tahoma" w:cs="Tahoma"/>
          <w:color w:val="666666"/>
          <w:sz w:val="20"/>
          <w:szCs w:val="20"/>
        </w:rPr>
        <w:t>а</w:t>
      </w:r>
      <w:r w:rsidR="007635E0">
        <w:rPr>
          <w:rFonts w:ascii="Tahoma" w:hAnsi="Tahoma" w:cs="Tahoma"/>
          <w:color w:val="666666"/>
          <w:sz w:val="20"/>
          <w:szCs w:val="20"/>
        </w:rPr>
        <w:t>, а также прочего совокупного дохода</w:t>
      </w:r>
      <w:r>
        <w:rPr>
          <w:rFonts w:ascii="Tahoma" w:hAnsi="Tahoma" w:cs="Tahoma"/>
          <w:color w:val="666666"/>
          <w:sz w:val="20"/>
          <w:szCs w:val="20"/>
        </w:rPr>
        <w:t>.</w:t>
      </w:r>
    </w:p>
    <w:p w:rsidR="00BF5A19" w:rsidRPr="00BF5A19" w:rsidRDefault="00927B60" w:rsidP="001F0C11">
      <w:pPr>
        <w:shd w:val="clear" w:color="auto" w:fill="FFFFFF"/>
        <w:spacing w:before="120" w:after="240" w:line="276" w:lineRule="auto"/>
        <w:jc w:val="both"/>
        <w:rPr>
          <w:rFonts w:ascii="Tahoma" w:hAnsi="Tahoma" w:cs="Tahoma"/>
          <w:color w:val="666666"/>
          <w:sz w:val="20"/>
          <w:szCs w:val="20"/>
        </w:rPr>
      </w:pPr>
      <w:proofErr w:type="gramStart"/>
      <w:r w:rsidRPr="0020760C">
        <w:rPr>
          <w:rFonts w:ascii="Tahoma" w:hAnsi="Tahoma" w:cs="Tahoma"/>
          <w:b/>
          <w:color w:val="666666"/>
          <w:sz w:val="20"/>
          <w:szCs w:val="20"/>
        </w:rPr>
        <w:t>Активы, взвешенные с учетом риска</w:t>
      </w:r>
      <w:r>
        <w:rPr>
          <w:rFonts w:ascii="Tahoma" w:hAnsi="Tahoma" w:cs="Tahoma"/>
          <w:color w:val="666666"/>
          <w:sz w:val="20"/>
          <w:szCs w:val="20"/>
        </w:rPr>
        <w:t xml:space="preserve"> Группы увеличились</w:t>
      </w:r>
      <w:proofErr w:type="gramEnd"/>
      <w:r>
        <w:rPr>
          <w:rFonts w:ascii="Tahoma" w:hAnsi="Tahoma" w:cs="Tahoma"/>
          <w:color w:val="666666"/>
          <w:sz w:val="20"/>
          <w:szCs w:val="20"/>
        </w:rPr>
        <w:t xml:space="preserve"> на </w:t>
      </w:r>
      <w:r w:rsidR="000A1412">
        <w:rPr>
          <w:rFonts w:ascii="Tahoma" w:hAnsi="Tahoma" w:cs="Tahoma"/>
          <w:color w:val="666666"/>
          <w:sz w:val="20"/>
          <w:szCs w:val="20"/>
        </w:rPr>
        <w:t>5,8</w:t>
      </w:r>
      <w:r>
        <w:rPr>
          <w:rFonts w:ascii="Tahoma" w:hAnsi="Tahoma" w:cs="Tahoma"/>
          <w:color w:val="666666"/>
          <w:sz w:val="20"/>
          <w:szCs w:val="20"/>
        </w:rPr>
        <w:t xml:space="preserve">% в </w:t>
      </w:r>
      <w:r w:rsidR="000A1412">
        <w:rPr>
          <w:rFonts w:ascii="Tahoma" w:hAnsi="Tahoma" w:cs="Tahoma"/>
          <w:color w:val="666666"/>
          <w:sz w:val="20"/>
          <w:szCs w:val="20"/>
        </w:rPr>
        <w:t>4</w:t>
      </w:r>
      <w:r>
        <w:rPr>
          <w:rFonts w:ascii="Tahoma" w:hAnsi="Tahoma" w:cs="Tahoma"/>
          <w:color w:val="666666"/>
          <w:sz w:val="20"/>
          <w:szCs w:val="20"/>
        </w:rPr>
        <w:t xml:space="preserve"> квартале 2015 года относительно предыдущего квартала и составили </w:t>
      </w:r>
      <w:r w:rsidR="000A1412">
        <w:rPr>
          <w:rFonts w:ascii="Tahoma" w:hAnsi="Tahoma" w:cs="Tahoma"/>
          <w:color w:val="666666"/>
          <w:sz w:val="20"/>
          <w:szCs w:val="20"/>
        </w:rPr>
        <w:t>25,0</w:t>
      </w:r>
      <w:r>
        <w:rPr>
          <w:rFonts w:ascii="Tahoma" w:hAnsi="Tahoma" w:cs="Tahoma"/>
          <w:color w:val="666666"/>
          <w:sz w:val="20"/>
          <w:szCs w:val="20"/>
        </w:rPr>
        <w:t xml:space="preserve"> трлн. руб</w:t>
      </w:r>
      <w:r w:rsidR="00447AD2">
        <w:rPr>
          <w:rFonts w:ascii="Tahoma" w:hAnsi="Tahoma" w:cs="Tahoma"/>
          <w:color w:val="666666"/>
          <w:sz w:val="20"/>
          <w:szCs w:val="20"/>
        </w:rPr>
        <w:t xml:space="preserve">. </w:t>
      </w:r>
      <w:r w:rsidR="009D2F55">
        <w:rPr>
          <w:rFonts w:ascii="Tahoma" w:hAnsi="Tahoma" w:cs="Tahoma"/>
          <w:color w:val="666666"/>
          <w:sz w:val="20"/>
          <w:szCs w:val="20"/>
        </w:rPr>
        <w:t xml:space="preserve">в основном </w:t>
      </w:r>
      <w:r w:rsidR="00447AD2">
        <w:rPr>
          <w:rFonts w:ascii="Tahoma" w:hAnsi="Tahoma" w:cs="Tahoma"/>
          <w:color w:val="666666"/>
          <w:sz w:val="20"/>
          <w:szCs w:val="20"/>
        </w:rPr>
        <w:t>за счет изменения валютных курсов</w:t>
      </w:r>
      <w:r>
        <w:rPr>
          <w:rFonts w:ascii="Tahoma" w:hAnsi="Tahoma" w:cs="Tahoma"/>
          <w:color w:val="666666"/>
          <w:sz w:val="20"/>
          <w:szCs w:val="20"/>
        </w:rPr>
        <w:t xml:space="preserve">. Таким образом, коэффициент достаточности общего капитала (по Базель </w:t>
      </w:r>
      <w:r>
        <w:rPr>
          <w:rFonts w:ascii="Tahoma" w:hAnsi="Tahoma" w:cs="Tahoma"/>
          <w:color w:val="666666"/>
          <w:sz w:val="20"/>
          <w:szCs w:val="20"/>
          <w:lang w:val="en-US"/>
        </w:rPr>
        <w:t>I</w:t>
      </w:r>
      <w:r w:rsidRPr="00927B60">
        <w:rPr>
          <w:rFonts w:ascii="Tahoma" w:hAnsi="Tahoma" w:cs="Tahoma"/>
          <w:color w:val="666666"/>
          <w:sz w:val="20"/>
          <w:szCs w:val="20"/>
        </w:rPr>
        <w:t>)</w:t>
      </w:r>
      <w:r>
        <w:rPr>
          <w:rFonts w:ascii="Tahoma" w:hAnsi="Tahoma" w:cs="Tahoma"/>
          <w:color w:val="666666"/>
          <w:sz w:val="20"/>
          <w:szCs w:val="20"/>
        </w:rPr>
        <w:t xml:space="preserve"> снизился на </w:t>
      </w:r>
      <w:r w:rsidR="000A1412">
        <w:rPr>
          <w:rFonts w:ascii="Tahoma" w:hAnsi="Tahoma" w:cs="Tahoma"/>
          <w:color w:val="666666"/>
          <w:sz w:val="20"/>
          <w:szCs w:val="20"/>
        </w:rPr>
        <w:t>3</w:t>
      </w:r>
      <w:r>
        <w:rPr>
          <w:rFonts w:ascii="Tahoma" w:hAnsi="Tahoma" w:cs="Tahoma"/>
          <w:color w:val="666666"/>
          <w:sz w:val="20"/>
          <w:szCs w:val="20"/>
        </w:rPr>
        <w:t xml:space="preserve">0 базисных пунктов в </w:t>
      </w:r>
      <w:r w:rsidR="000A1412">
        <w:rPr>
          <w:rFonts w:ascii="Tahoma" w:hAnsi="Tahoma" w:cs="Tahoma"/>
          <w:color w:val="666666"/>
          <w:sz w:val="20"/>
          <w:szCs w:val="20"/>
        </w:rPr>
        <w:t>4</w:t>
      </w:r>
      <w:r>
        <w:rPr>
          <w:rFonts w:ascii="Tahoma" w:hAnsi="Tahoma" w:cs="Tahoma"/>
          <w:color w:val="666666"/>
          <w:sz w:val="20"/>
          <w:szCs w:val="20"/>
        </w:rPr>
        <w:t xml:space="preserve"> квартале 2015 года в сравнении с предыдущим кварталом, составив 12,</w:t>
      </w:r>
      <w:r w:rsidR="000A1412">
        <w:rPr>
          <w:rFonts w:ascii="Tahoma" w:hAnsi="Tahoma" w:cs="Tahoma"/>
          <w:color w:val="666666"/>
          <w:sz w:val="20"/>
          <w:szCs w:val="20"/>
        </w:rPr>
        <w:t>6</w:t>
      </w:r>
      <w:r>
        <w:rPr>
          <w:rFonts w:ascii="Tahoma" w:hAnsi="Tahoma" w:cs="Tahoma"/>
          <w:color w:val="666666"/>
          <w:sz w:val="20"/>
          <w:szCs w:val="20"/>
        </w:rPr>
        <w:t xml:space="preserve">%. </w:t>
      </w:r>
      <w:r w:rsidR="00EE2510">
        <w:rPr>
          <w:rFonts w:ascii="Tahoma" w:hAnsi="Tahoma" w:cs="Tahoma"/>
          <w:color w:val="666666"/>
          <w:sz w:val="20"/>
          <w:szCs w:val="20"/>
        </w:rPr>
        <w:t xml:space="preserve">Коэффициент достаточности основного капитала снизился на </w:t>
      </w:r>
      <w:r w:rsidR="000A1412">
        <w:rPr>
          <w:rFonts w:ascii="Tahoma" w:hAnsi="Tahoma" w:cs="Tahoma"/>
          <w:color w:val="666666"/>
          <w:sz w:val="20"/>
          <w:szCs w:val="20"/>
        </w:rPr>
        <w:t>2</w:t>
      </w:r>
      <w:r w:rsidR="00EE2510">
        <w:rPr>
          <w:rFonts w:ascii="Tahoma" w:hAnsi="Tahoma" w:cs="Tahoma"/>
          <w:color w:val="666666"/>
          <w:sz w:val="20"/>
          <w:szCs w:val="20"/>
        </w:rPr>
        <w:t>0 базисных пункт</w:t>
      </w:r>
      <w:r w:rsidR="00410649">
        <w:rPr>
          <w:rFonts w:ascii="Tahoma" w:hAnsi="Tahoma" w:cs="Tahoma"/>
          <w:color w:val="666666"/>
          <w:sz w:val="20"/>
          <w:szCs w:val="20"/>
        </w:rPr>
        <w:t xml:space="preserve">ов </w:t>
      </w:r>
      <w:r w:rsidR="00DB252F">
        <w:rPr>
          <w:rFonts w:ascii="Tahoma" w:hAnsi="Tahoma" w:cs="Tahoma"/>
          <w:color w:val="666666"/>
          <w:sz w:val="20"/>
          <w:szCs w:val="20"/>
        </w:rPr>
        <w:t>в 4 квартале 2015 по сравнению с 3 кварталом 2015</w:t>
      </w:r>
      <w:r w:rsidR="00410649">
        <w:rPr>
          <w:rFonts w:ascii="Tahoma" w:hAnsi="Tahoma" w:cs="Tahoma"/>
          <w:color w:val="666666"/>
          <w:sz w:val="20"/>
          <w:szCs w:val="20"/>
        </w:rPr>
        <w:t xml:space="preserve">, составив </w:t>
      </w:r>
      <w:r w:rsidR="000A1412">
        <w:rPr>
          <w:rFonts w:ascii="Tahoma" w:hAnsi="Tahoma" w:cs="Tahoma"/>
          <w:color w:val="666666"/>
          <w:sz w:val="20"/>
          <w:szCs w:val="20"/>
        </w:rPr>
        <w:t>8,9</w:t>
      </w:r>
      <w:r w:rsidR="00EE2510">
        <w:rPr>
          <w:rFonts w:ascii="Tahoma" w:hAnsi="Tahoma" w:cs="Tahoma"/>
          <w:color w:val="666666"/>
          <w:sz w:val="20"/>
          <w:szCs w:val="20"/>
        </w:rPr>
        <w:t>%.</w:t>
      </w:r>
    </w:p>
    <w:sectPr w:rsidR="00BF5A19" w:rsidRPr="00BF5A19" w:rsidSect="00B25D7E">
      <w:footerReference w:type="default" r:id="rId9"/>
      <w:pgSz w:w="11906" w:h="16838"/>
      <w:pgMar w:top="706" w:right="850" w:bottom="1138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BFF" w:rsidRDefault="00A14BFF" w:rsidP="000A0EF9">
      <w:r>
        <w:separator/>
      </w:r>
    </w:p>
  </w:endnote>
  <w:endnote w:type="continuationSeparator" w:id="0">
    <w:p w:rsidR="00A14BFF" w:rsidRDefault="00A14BFF" w:rsidP="000A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275371"/>
      <w:docPartObj>
        <w:docPartGallery w:val="Page Numbers (Bottom of Page)"/>
        <w:docPartUnique/>
      </w:docPartObj>
    </w:sdtPr>
    <w:sdtEndPr/>
    <w:sdtContent>
      <w:p w:rsidR="004B0A71" w:rsidRDefault="004B0A71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FDB">
          <w:rPr>
            <w:noProof/>
          </w:rPr>
          <w:t>1</w:t>
        </w:r>
        <w:r>
          <w:fldChar w:fldCharType="end"/>
        </w:r>
      </w:p>
    </w:sdtContent>
  </w:sdt>
  <w:p w:rsidR="004B0A71" w:rsidRDefault="004B0A7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BFF" w:rsidRDefault="00A14BFF" w:rsidP="000A0EF9">
      <w:r>
        <w:separator/>
      </w:r>
    </w:p>
  </w:footnote>
  <w:footnote w:type="continuationSeparator" w:id="0">
    <w:p w:rsidR="00A14BFF" w:rsidRDefault="00A14BFF" w:rsidP="000A0EF9">
      <w:r>
        <w:continuationSeparator/>
      </w:r>
    </w:p>
  </w:footnote>
  <w:footnote w:id="1">
    <w:p w:rsidR="00144731" w:rsidRDefault="00144731">
      <w:pPr>
        <w:pStyle w:val="af3"/>
      </w:pPr>
      <w:r>
        <w:rPr>
          <w:rStyle w:val="af5"/>
        </w:rPr>
        <w:footnoteRef/>
      </w:r>
      <w:r>
        <w:t xml:space="preserve"> </w:t>
      </w:r>
      <w:r w:rsidRPr="001C6082">
        <w:rPr>
          <w:sz w:val="12"/>
        </w:rPr>
        <w:t>Прочие</w:t>
      </w:r>
      <w:r>
        <w:rPr>
          <w:sz w:val="12"/>
        </w:rPr>
        <w:t xml:space="preserve"> непроцентные</w:t>
      </w:r>
      <w:r w:rsidRPr="001C6082">
        <w:rPr>
          <w:sz w:val="12"/>
        </w:rPr>
        <w:t xml:space="preserve"> доходы включают в себя:</w:t>
      </w:r>
      <w:r>
        <w:t xml:space="preserve"> </w:t>
      </w:r>
      <w:proofErr w:type="gramStart"/>
      <w:r w:rsidRPr="00DA524B">
        <w:rPr>
          <w:sz w:val="12"/>
        </w:rPr>
        <w:t>Доходы за вычетом расходов / (расходы за вычетом доходов) по операциям с торговыми ценными бумагами; Доходы за вычетом расходов / (расходы за вычетом доходов) по операциям с ценными бумагами, изменение справедливой стоимости которых отражается через счета прибылей и убытков; Доходы за вычетом расходов по операциям с инвестиционными ценными бумагами, имеющимися в наличии для продажи;</w:t>
      </w:r>
      <w:proofErr w:type="gramEnd"/>
      <w:r w:rsidRPr="00DA524B">
        <w:rPr>
          <w:sz w:val="12"/>
        </w:rPr>
        <w:t xml:space="preserve"> </w:t>
      </w:r>
      <w:proofErr w:type="gramStart"/>
      <w:r w:rsidRPr="00DA524B">
        <w:rPr>
          <w:sz w:val="12"/>
        </w:rPr>
        <w:t>Обесценение инвестиционных ценных бумаг, имеющихся в наличии для продажи; Доходы за вычетом расходов по операциям с иностранной валютой, валютными производными инструментами и от переоценки иностранной валюты; Расходы за вычетом доходов по операциям с драгоценными металлами, производными финансовыми инструментами с драгоценными металлами и от переоценки счетов в драгоценных металлах; Доходы за вычетом расходов по операциям с прочими производными инструментами;</w:t>
      </w:r>
      <w:proofErr w:type="gramEnd"/>
      <w:r w:rsidRPr="00DA524B">
        <w:rPr>
          <w:sz w:val="12"/>
        </w:rPr>
        <w:t xml:space="preserve"> Обесценение деловой репутации; Расходы от первоначального признания финансовых инструментов и реструктуризации кредитов; Чистое создание прочих резервов; Выручка, полученная от небанковских видов деятельности; Себестоимость продаж и прочие расходы по небанковским видам деятельности; Доходы за вычетом расходов от страховой деятельности и деятельности пенсионного фонда; Прочие операционные доходы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0CA3"/>
    <w:multiLevelType w:val="hybridMultilevel"/>
    <w:tmpl w:val="F97A8840"/>
    <w:lvl w:ilvl="0" w:tplc="678A80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1E4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46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504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64B1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028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B2F8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D4F3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76D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7C35A8"/>
    <w:multiLevelType w:val="hybridMultilevel"/>
    <w:tmpl w:val="5A20DA74"/>
    <w:lvl w:ilvl="0" w:tplc="1E88D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4C9B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D8FC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40F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DECF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529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C8E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B2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E1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11C09F6"/>
    <w:multiLevelType w:val="hybridMultilevel"/>
    <w:tmpl w:val="96ACC394"/>
    <w:lvl w:ilvl="0" w:tplc="7DF473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7050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8052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BCD3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7E3D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F49E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2E58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54F0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56C7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C16B94"/>
    <w:multiLevelType w:val="multilevel"/>
    <w:tmpl w:val="91D8B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8D35023"/>
    <w:multiLevelType w:val="hybridMultilevel"/>
    <w:tmpl w:val="3E688DCA"/>
    <w:lvl w:ilvl="0" w:tplc="65F6F6E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D1223EF"/>
    <w:multiLevelType w:val="hybridMultilevel"/>
    <w:tmpl w:val="94506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16834"/>
    <w:multiLevelType w:val="hybridMultilevel"/>
    <w:tmpl w:val="DC5C4F0C"/>
    <w:lvl w:ilvl="0" w:tplc="E5DEF4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A22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406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EE7C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D2D0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2C3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C8BE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F25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E43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DD52855"/>
    <w:multiLevelType w:val="hybridMultilevel"/>
    <w:tmpl w:val="1D72E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896514"/>
    <w:multiLevelType w:val="hybridMultilevel"/>
    <w:tmpl w:val="0D921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8D735B"/>
    <w:multiLevelType w:val="hybridMultilevel"/>
    <w:tmpl w:val="6F00E9F4"/>
    <w:lvl w:ilvl="0" w:tplc="C95685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F06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D29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C81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A603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BCE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8AD9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DC9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A257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3233421"/>
    <w:multiLevelType w:val="hybridMultilevel"/>
    <w:tmpl w:val="4DA2BF48"/>
    <w:lvl w:ilvl="0" w:tplc="BE38E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CE1D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DC7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007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701F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2E7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EEF0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CFC72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A5C6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9E60304"/>
    <w:multiLevelType w:val="hybridMultilevel"/>
    <w:tmpl w:val="D86A0068"/>
    <w:lvl w:ilvl="0" w:tplc="0A6AEE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7604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121D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285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C61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6EF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261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76F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E29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E5B17AB"/>
    <w:multiLevelType w:val="hybridMultilevel"/>
    <w:tmpl w:val="6AA6D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731EDD"/>
    <w:multiLevelType w:val="hybridMultilevel"/>
    <w:tmpl w:val="5CE061FE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4">
    <w:nsid w:val="6AC259A7"/>
    <w:multiLevelType w:val="hybridMultilevel"/>
    <w:tmpl w:val="2D384394"/>
    <w:lvl w:ilvl="0" w:tplc="DA463B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204A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202A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29E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C4DD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145D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C090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BADC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E2C2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1DF5100"/>
    <w:multiLevelType w:val="multilevel"/>
    <w:tmpl w:val="4D48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7873A4C"/>
    <w:multiLevelType w:val="hybridMultilevel"/>
    <w:tmpl w:val="51885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"/>
  </w:num>
  <w:num w:numId="4">
    <w:abstractNumId w:val="10"/>
  </w:num>
  <w:num w:numId="5">
    <w:abstractNumId w:val="1"/>
  </w:num>
  <w:num w:numId="6">
    <w:abstractNumId w:val="9"/>
  </w:num>
  <w:num w:numId="7">
    <w:abstractNumId w:val="6"/>
  </w:num>
  <w:num w:numId="8">
    <w:abstractNumId w:val="0"/>
  </w:num>
  <w:num w:numId="9">
    <w:abstractNumId w:val="14"/>
  </w:num>
  <w:num w:numId="10">
    <w:abstractNumId w:val="11"/>
  </w:num>
  <w:num w:numId="11">
    <w:abstractNumId w:val="8"/>
  </w:num>
  <w:num w:numId="12">
    <w:abstractNumId w:val="13"/>
  </w:num>
  <w:num w:numId="13">
    <w:abstractNumId w:val="16"/>
  </w:num>
  <w:num w:numId="14">
    <w:abstractNumId w:val="7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D2B"/>
    <w:rsid w:val="0000095F"/>
    <w:rsid w:val="000030C6"/>
    <w:rsid w:val="000041BF"/>
    <w:rsid w:val="00005999"/>
    <w:rsid w:val="00006121"/>
    <w:rsid w:val="00007AE3"/>
    <w:rsid w:val="0001042B"/>
    <w:rsid w:val="00010565"/>
    <w:rsid w:val="00013843"/>
    <w:rsid w:val="00013B79"/>
    <w:rsid w:val="00013D20"/>
    <w:rsid w:val="000146EB"/>
    <w:rsid w:val="00014712"/>
    <w:rsid w:val="0001685E"/>
    <w:rsid w:val="00017A04"/>
    <w:rsid w:val="0002150F"/>
    <w:rsid w:val="00024D28"/>
    <w:rsid w:val="000258CB"/>
    <w:rsid w:val="000302CB"/>
    <w:rsid w:val="00030D29"/>
    <w:rsid w:val="00030ED0"/>
    <w:rsid w:val="00031C9B"/>
    <w:rsid w:val="0003455F"/>
    <w:rsid w:val="00035781"/>
    <w:rsid w:val="00035ACB"/>
    <w:rsid w:val="00035C03"/>
    <w:rsid w:val="00037C69"/>
    <w:rsid w:val="00037CF4"/>
    <w:rsid w:val="000411E9"/>
    <w:rsid w:val="000417C8"/>
    <w:rsid w:val="000422C8"/>
    <w:rsid w:val="00045345"/>
    <w:rsid w:val="000455A5"/>
    <w:rsid w:val="00050E33"/>
    <w:rsid w:val="000526DD"/>
    <w:rsid w:val="00053667"/>
    <w:rsid w:val="00053C99"/>
    <w:rsid w:val="000544F0"/>
    <w:rsid w:val="000569C9"/>
    <w:rsid w:val="0005736A"/>
    <w:rsid w:val="00061794"/>
    <w:rsid w:val="000625DD"/>
    <w:rsid w:val="00062B51"/>
    <w:rsid w:val="00065075"/>
    <w:rsid w:val="00066E29"/>
    <w:rsid w:val="000670A1"/>
    <w:rsid w:val="00067CA6"/>
    <w:rsid w:val="00070948"/>
    <w:rsid w:val="00071D93"/>
    <w:rsid w:val="0007372A"/>
    <w:rsid w:val="000757DF"/>
    <w:rsid w:val="00075A66"/>
    <w:rsid w:val="00076FB3"/>
    <w:rsid w:val="000773A1"/>
    <w:rsid w:val="00081FC6"/>
    <w:rsid w:val="00082A40"/>
    <w:rsid w:val="00082C7F"/>
    <w:rsid w:val="00083224"/>
    <w:rsid w:val="000908B1"/>
    <w:rsid w:val="00090EF6"/>
    <w:rsid w:val="00092A8C"/>
    <w:rsid w:val="00092B1A"/>
    <w:rsid w:val="0009338F"/>
    <w:rsid w:val="00096705"/>
    <w:rsid w:val="00097E28"/>
    <w:rsid w:val="000A0140"/>
    <w:rsid w:val="000A02EA"/>
    <w:rsid w:val="000A08F7"/>
    <w:rsid w:val="000A0EF9"/>
    <w:rsid w:val="000A1412"/>
    <w:rsid w:val="000A16EE"/>
    <w:rsid w:val="000A1C58"/>
    <w:rsid w:val="000A3BE2"/>
    <w:rsid w:val="000A3E3D"/>
    <w:rsid w:val="000A3FEA"/>
    <w:rsid w:val="000A4B63"/>
    <w:rsid w:val="000A6CFB"/>
    <w:rsid w:val="000A6E21"/>
    <w:rsid w:val="000B2CF6"/>
    <w:rsid w:val="000B4EB5"/>
    <w:rsid w:val="000B5380"/>
    <w:rsid w:val="000C152B"/>
    <w:rsid w:val="000C409B"/>
    <w:rsid w:val="000C7206"/>
    <w:rsid w:val="000C7A5E"/>
    <w:rsid w:val="000D00F6"/>
    <w:rsid w:val="000D23D4"/>
    <w:rsid w:val="000D2F7D"/>
    <w:rsid w:val="000D38D9"/>
    <w:rsid w:val="000D47E1"/>
    <w:rsid w:val="000D51A2"/>
    <w:rsid w:val="000E0859"/>
    <w:rsid w:val="000E1010"/>
    <w:rsid w:val="000E566D"/>
    <w:rsid w:val="000E6DB8"/>
    <w:rsid w:val="000F20EE"/>
    <w:rsid w:val="000F412B"/>
    <w:rsid w:val="000F424B"/>
    <w:rsid w:val="000F47AF"/>
    <w:rsid w:val="000F6C39"/>
    <w:rsid w:val="001021DF"/>
    <w:rsid w:val="001030E2"/>
    <w:rsid w:val="00103B89"/>
    <w:rsid w:val="00105497"/>
    <w:rsid w:val="00105A3C"/>
    <w:rsid w:val="001115E5"/>
    <w:rsid w:val="00113802"/>
    <w:rsid w:val="001149E7"/>
    <w:rsid w:val="00114D97"/>
    <w:rsid w:val="00114F82"/>
    <w:rsid w:val="001157AD"/>
    <w:rsid w:val="00115A41"/>
    <w:rsid w:val="00116966"/>
    <w:rsid w:val="0011721D"/>
    <w:rsid w:val="0012073B"/>
    <w:rsid w:val="00122CEE"/>
    <w:rsid w:val="00124BFA"/>
    <w:rsid w:val="00125855"/>
    <w:rsid w:val="0012589D"/>
    <w:rsid w:val="00125CA7"/>
    <w:rsid w:val="001272D1"/>
    <w:rsid w:val="001321FB"/>
    <w:rsid w:val="001333D8"/>
    <w:rsid w:val="00133C52"/>
    <w:rsid w:val="00134156"/>
    <w:rsid w:val="00134ED0"/>
    <w:rsid w:val="00135FDC"/>
    <w:rsid w:val="00141433"/>
    <w:rsid w:val="00142718"/>
    <w:rsid w:val="00143D17"/>
    <w:rsid w:val="00144731"/>
    <w:rsid w:val="00147583"/>
    <w:rsid w:val="00152AA5"/>
    <w:rsid w:val="0015442A"/>
    <w:rsid w:val="00154879"/>
    <w:rsid w:val="00155EE0"/>
    <w:rsid w:val="00157947"/>
    <w:rsid w:val="00157E83"/>
    <w:rsid w:val="00160A8C"/>
    <w:rsid w:val="00160B72"/>
    <w:rsid w:val="001615E3"/>
    <w:rsid w:val="00162239"/>
    <w:rsid w:val="001636FE"/>
    <w:rsid w:val="001646E8"/>
    <w:rsid w:val="001656AC"/>
    <w:rsid w:val="00165C1E"/>
    <w:rsid w:val="00165E3B"/>
    <w:rsid w:val="00167118"/>
    <w:rsid w:val="00170003"/>
    <w:rsid w:val="001714F3"/>
    <w:rsid w:val="00171792"/>
    <w:rsid w:val="00171B7D"/>
    <w:rsid w:val="00173975"/>
    <w:rsid w:val="00174920"/>
    <w:rsid w:val="00177289"/>
    <w:rsid w:val="00177F64"/>
    <w:rsid w:val="00182CE5"/>
    <w:rsid w:val="00182E19"/>
    <w:rsid w:val="0018304D"/>
    <w:rsid w:val="00183674"/>
    <w:rsid w:val="00184774"/>
    <w:rsid w:val="00184D54"/>
    <w:rsid w:val="00185A5A"/>
    <w:rsid w:val="0018648D"/>
    <w:rsid w:val="001900A6"/>
    <w:rsid w:val="001904AD"/>
    <w:rsid w:val="0019150C"/>
    <w:rsid w:val="00191E4C"/>
    <w:rsid w:val="00192743"/>
    <w:rsid w:val="00193393"/>
    <w:rsid w:val="0019370D"/>
    <w:rsid w:val="00194CEB"/>
    <w:rsid w:val="00194EC6"/>
    <w:rsid w:val="00195D2E"/>
    <w:rsid w:val="00196DA3"/>
    <w:rsid w:val="00197793"/>
    <w:rsid w:val="001A022F"/>
    <w:rsid w:val="001A2B32"/>
    <w:rsid w:val="001A54F6"/>
    <w:rsid w:val="001A6A7D"/>
    <w:rsid w:val="001A6AE2"/>
    <w:rsid w:val="001A71AA"/>
    <w:rsid w:val="001A72AA"/>
    <w:rsid w:val="001A77C7"/>
    <w:rsid w:val="001A78A0"/>
    <w:rsid w:val="001A7F6F"/>
    <w:rsid w:val="001B20D3"/>
    <w:rsid w:val="001B39C1"/>
    <w:rsid w:val="001B4E48"/>
    <w:rsid w:val="001B550B"/>
    <w:rsid w:val="001C3821"/>
    <w:rsid w:val="001C4FCD"/>
    <w:rsid w:val="001C5264"/>
    <w:rsid w:val="001C58FB"/>
    <w:rsid w:val="001C6DAE"/>
    <w:rsid w:val="001D126A"/>
    <w:rsid w:val="001D380D"/>
    <w:rsid w:val="001D427A"/>
    <w:rsid w:val="001D677B"/>
    <w:rsid w:val="001E05FB"/>
    <w:rsid w:val="001E1A52"/>
    <w:rsid w:val="001E4714"/>
    <w:rsid w:val="001E4F95"/>
    <w:rsid w:val="001E5405"/>
    <w:rsid w:val="001E59F8"/>
    <w:rsid w:val="001F0198"/>
    <w:rsid w:val="001F0845"/>
    <w:rsid w:val="001F0C11"/>
    <w:rsid w:val="001F29B3"/>
    <w:rsid w:val="001F33F9"/>
    <w:rsid w:val="001F57F4"/>
    <w:rsid w:val="001F7B88"/>
    <w:rsid w:val="00202975"/>
    <w:rsid w:val="00202C3E"/>
    <w:rsid w:val="00202CE9"/>
    <w:rsid w:val="00202D96"/>
    <w:rsid w:val="00202E75"/>
    <w:rsid w:val="0020421B"/>
    <w:rsid w:val="00206AF5"/>
    <w:rsid w:val="00207594"/>
    <w:rsid w:val="0020760C"/>
    <w:rsid w:val="00207EC9"/>
    <w:rsid w:val="00210A90"/>
    <w:rsid w:val="0021136D"/>
    <w:rsid w:val="0021193A"/>
    <w:rsid w:val="002124BF"/>
    <w:rsid w:val="00216A4E"/>
    <w:rsid w:val="00217976"/>
    <w:rsid w:val="00221F35"/>
    <w:rsid w:val="002231C6"/>
    <w:rsid w:val="002249BC"/>
    <w:rsid w:val="00224BD5"/>
    <w:rsid w:val="00225E15"/>
    <w:rsid w:val="002270CD"/>
    <w:rsid w:val="0023056A"/>
    <w:rsid w:val="00230EF6"/>
    <w:rsid w:val="00233E8D"/>
    <w:rsid w:val="0023522A"/>
    <w:rsid w:val="002427E2"/>
    <w:rsid w:val="002443BE"/>
    <w:rsid w:val="00246700"/>
    <w:rsid w:val="00247669"/>
    <w:rsid w:val="002478BA"/>
    <w:rsid w:val="00250799"/>
    <w:rsid w:val="002520BE"/>
    <w:rsid w:val="002540CC"/>
    <w:rsid w:val="00254352"/>
    <w:rsid w:val="00255EDA"/>
    <w:rsid w:val="002576D7"/>
    <w:rsid w:val="00265431"/>
    <w:rsid w:val="0026773D"/>
    <w:rsid w:val="0027096E"/>
    <w:rsid w:val="00270CBF"/>
    <w:rsid w:val="00272EA9"/>
    <w:rsid w:val="002768E0"/>
    <w:rsid w:val="00277156"/>
    <w:rsid w:val="00282410"/>
    <w:rsid w:val="00282705"/>
    <w:rsid w:val="0028330C"/>
    <w:rsid w:val="00283E8B"/>
    <w:rsid w:val="00285EBA"/>
    <w:rsid w:val="00287348"/>
    <w:rsid w:val="0029075E"/>
    <w:rsid w:val="00291722"/>
    <w:rsid w:val="00291B06"/>
    <w:rsid w:val="00291E17"/>
    <w:rsid w:val="0029201D"/>
    <w:rsid w:val="002927EF"/>
    <w:rsid w:val="00292EFF"/>
    <w:rsid w:val="00292F60"/>
    <w:rsid w:val="002931F7"/>
    <w:rsid w:val="002932CB"/>
    <w:rsid w:val="002955EB"/>
    <w:rsid w:val="002959D9"/>
    <w:rsid w:val="002976B3"/>
    <w:rsid w:val="00297FC7"/>
    <w:rsid w:val="002A2770"/>
    <w:rsid w:val="002B0291"/>
    <w:rsid w:val="002B3B9F"/>
    <w:rsid w:val="002B557B"/>
    <w:rsid w:val="002B5A8B"/>
    <w:rsid w:val="002C143D"/>
    <w:rsid w:val="002C2971"/>
    <w:rsid w:val="002C36ED"/>
    <w:rsid w:val="002C46FA"/>
    <w:rsid w:val="002C596B"/>
    <w:rsid w:val="002C5C7D"/>
    <w:rsid w:val="002C724D"/>
    <w:rsid w:val="002D1056"/>
    <w:rsid w:val="002D51D4"/>
    <w:rsid w:val="002D7D2F"/>
    <w:rsid w:val="002E2673"/>
    <w:rsid w:val="002E37C5"/>
    <w:rsid w:val="002E4048"/>
    <w:rsid w:val="002E5256"/>
    <w:rsid w:val="002F36CA"/>
    <w:rsid w:val="002F4091"/>
    <w:rsid w:val="002F4883"/>
    <w:rsid w:val="002F6441"/>
    <w:rsid w:val="002F6A0D"/>
    <w:rsid w:val="00300D82"/>
    <w:rsid w:val="0030220D"/>
    <w:rsid w:val="00303490"/>
    <w:rsid w:val="003034B5"/>
    <w:rsid w:val="00304EFF"/>
    <w:rsid w:val="00305202"/>
    <w:rsid w:val="00310F47"/>
    <w:rsid w:val="003118FF"/>
    <w:rsid w:val="003124B0"/>
    <w:rsid w:val="00312686"/>
    <w:rsid w:val="003138CE"/>
    <w:rsid w:val="00313D04"/>
    <w:rsid w:val="00313E00"/>
    <w:rsid w:val="0031698D"/>
    <w:rsid w:val="00320539"/>
    <w:rsid w:val="00321C52"/>
    <w:rsid w:val="00323F72"/>
    <w:rsid w:val="0032505C"/>
    <w:rsid w:val="003262C4"/>
    <w:rsid w:val="0032649A"/>
    <w:rsid w:val="0033091E"/>
    <w:rsid w:val="00331B3F"/>
    <w:rsid w:val="003335A7"/>
    <w:rsid w:val="00333CA2"/>
    <w:rsid w:val="003345E0"/>
    <w:rsid w:val="003348B7"/>
    <w:rsid w:val="003363F9"/>
    <w:rsid w:val="00336957"/>
    <w:rsid w:val="0033741B"/>
    <w:rsid w:val="00337BAA"/>
    <w:rsid w:val="003400E3"/>
    <w:rsid w:val="00340468"/>
    <w:rsid w:val="0034051C"/>
    <w:rsid w:val="00343A66"/>
    <w:rsid w:val="00345061"/>
    <w:rsid w:val="00346E32"/>
    <w:rsid w:val="00347B40"/>
    <w:rsid w:val="00350D3E"/>
    <w:rsid w:val="00351B0E"/>
    <w:rsid w:val="003531DB"/>
    <w:rsid w:val="00354773"/>
    <w:rsid w:val="00356F1B"/>
    <w:rsid w:val="0036026D"/>
    <w:rsid w:val="00361F4B"/>
    <w:rsid w:val="003622C0"/>
    <w:rsid w:val="00362866"/>
    <w:rsid w:val="00363233"/>
    <w:rsid w:val="00363BA5"/>
    <w:rsid w:val="00364492"/>
    <w:rsid w:val="0036497B"/>
    <w:rsid w:val="00367964"/>
    <w:rsid w:val="003732FD"/>
    <w:rsid w:val="003736CD"/>
    <w:rsid w:val="00374CFF"/>
    <w:rsid w:val="00374E33"/>
    <w:rsid w:val="00375191"/>
    <w:rsid w:val="0037599C"/>
    <w:rsid w:val="00376B68"/>
    <w:rsid w:val="00376B85"/>
    <w:rsid w:val="00382CE3"/>
    <w:rsid w:val="003832D0"/>
    <w:rsid w:val="003848F1"/>
    <w:rsid w:val="0038544F"/>
    <w:rsid w:val="00385908"/>
    <w:rsid w:val="0039036C"/>
    <w:rsid w:val="003904AE"/>
    <w:rsid w:val="00390DBE"/>
    <w:rsid w:val="00392490"/>
    <w:rsid w:val="00393A1E"/>
    <w:rsid w:val="00395FBF"/>
    <w:rsid w:val="0039603B"/>
    <w:rsid w:val="003A060E"/>
    <w:rsid w:val="003A0713"/>
    <w:rsid w:val="003A10AB"/>
    <w:rsid w:val="003A2D99"/>
    <w:rsid w:val="003A3377"/>
    <w:rsid w:val="003A3596"/>
    <w:rsid w:val="003A38A2"/>
    <w:rsid w:val="003A3B68"/>
    <w:rsid w:val="003A4222"/>
    <w:rsid w:val="003A54F0"/>
    <w:rsid w:val="003A5CF6"/>
    <w:rsid w:val="003A5D75"/>
    <w:rsid w:val="003A7B07"/>
    <w:rsid w:val="003B260C"/>
    <w:rsid w:val="003B3848"/>
    <w:rsid w:val="003B586F"/>
    <w:rsid w:val="003B651E"/>
    <w:rsid w:val="003C257D"/>
    <w:rsid w:val="003C2BC6"/>
    <w:rsid w:val="003C42A2"/>
    <w:rsid w:val="003C621D"/>
    <w:rsid w:val="003C639D"/>
    <w:rsid w:val="003C7C94"/>
    <w:rsid w:val="003D2A23"/>
    <w:rsid w:val="003D52E9"/>
    <w:rsid w:val="003D5AB4"/>
    <w:rsid w:val="003E0944"/>
    <w:rsid w:val="003E0E89"/>
    <w:rsid w:val="003E11ED"/>
    <w:rsid w:val="003E3083"/>
    <w:rsid w:val="003E3755"/>
    <w:rsid w:val="003E5A54"/>
    <w:rsid w:val="003F002C"/>
    <w:rsid w:val="003F1074"/>
    <w:rsid w:val="003F6E53"/>
    <w:rsid w:val="003F6FB1"/>
    <w:rsid w:val="003F7883"/>
    <w:rsid w:val="00403F72"/>
    <w:rsid w:val="004046E5"/>
    <w:rsid w:val="00405BFE"/>
    <w:rsid w:val="004062F3"/>
    <w:rsid w:val="00410649"/>
    <w:rsid w:val="00411542"/>
    <w:rsid w:val="00413F91"/>
    <w:rsid w:val="00416C28"/>
    <w:rsid w:val="004174A8"/>
    <w:rsid w:val="00417A8E"/>
    <w:rsid w:val="0042286A"/>
    <w:rsid w:val="00425153"/>
    <w:rsid w:val="004256B0"/>
    <w:rsid w:val="00425C9A"/>
    <w:rsid w:val="00425EFD"/>
    <w:rsid w:val="00426628"/>
    <w:rsid w:val="00430D4B"/>
    <w:rsid w:val="00431BA8"/>
    <w:rsid w:val="00431C8A"/>
    <w:rsid w:val="00431DB1"/>
    <w:rsid w:val="00433C1A"/>
    <w:rsid w:val="00436D8A"/>
    <w:rsid w:val="004375B3"/>
    <w:rsid w:val="00440946"/>
    <w:rsid w:val="00443F79"/>
    <w:rsid w:val="004457C8"/>
    <w:rsid w:val="0044759B"/>
    <w:rsid w:val="00447AD2"/>
    <w:rsid w:val="0045182E"/>
    <w:rsid w:val="00451C47"/>
    <w:rsid w:val="00451E03"/>
    <w:rsid w:val="00454062"/>
    <w:rsid w:val="0045497B"/>
    <w:rsid w:val="004563D5"/>
    <w:rsid w:val="00456588"/>
    <w:rsid w:val="0045671B"/>
    <w:rsid w:val="0045724D"/>
    <w:rsid w:val="004604A2"/>
    <w:rsid w:val="00460F13"/>
    <w:rsid w:val="00460F18"/>
    <w:rsid w:val="00462386"/>
    <w:rsid w:val="004626C7"/>
    <w:rsid w:val="00463C9E"/>
    <w:rsid w:val="00465EE5"/>
    <w:rsid w:val="00466414"/>
    <w:rsid w:val="004664E7"/>
    <w:rsid w:val="00467DA9"/>
    <w:rsid w:val="0047042B"/>
    <w:rsid w:val="00471623"/>
    <w:rsid w:val="00473E98"/>
    <w:rsid w:val="004749C8"/>
    <w:rsid w:val="00480819"/>
    <w:rsid w:val="004810D2"/>
    <w:rsid w:val="00481A59"/>
    <w:rsid w:val="00482061"/>
    <w:rsid w:val="00483859"/>
    <w:rsid w:val="00483A46"/>
    <w:rsid w:val="00484FC2"/>
    <w:rsid w:val="00485921"/>
    <w:rsid w:val="004866B3"/>
    <w:rsid w:val="00487DB6"/>
    <w:rsid w:val="004909E7"/>
    <w:rsid w:val="00494643"/>
    <w:rsid w:val="004977B4"/>
    <w:rsid w:val="004A3429"/>
    <w:rsid w:val="004A396B"/>
    <w:rsid w:val="004A3F45"/>
    <w:rsid w:val="004A4024"/>
    <w:rsid w:val="004A4CAF"/>
    <w:rsid w:val="004A6188"/>
    <w:rsid w:val="004A6570"/>
    <w:rsid w:val="004B041F"/>
    <w:rsid w:val="004B0A71"/>
    <w:rsid w:val="004B0B8D"/>
    <w:rsid w:val="004B171F"/>
    <w:rsid w:val="004C0657"/>
    <w:rsid w:val="004C0A63"/>
    <w:rsid w:val="004C51C2"/>
    <w:rsid w:val="004C68E4"/>
    <w:rsid w:val="004C6F92"/>
    <w:rsid w:val="004C70ED"/>
    <w:rsid w:val="004C73DE"/>
    <w:rsid w:val="004D2027"/>
    <w:rsid w:val="004D2DA5"/>
    <w:rsid w:val="004D3502"/>
    <w:rsid w:val="004D39D8"/>
    <w:rsid w:val="004D589A"/>
    <w:rsid w:val="004D724E"/>
    <w:rsid w:val="004D7B9D"/>
    <w:rsid w:val="004D7CBB"/>
    <w:rsid w:val="004E160A"/>
    <w:rsid w:val="004E214E"/>
    <w:rsid w:val="004E23CF"/>
    <w:rsid w:val="004E240C"/>
    <w:rsid w:val="004E241F"/>
    <w:rsid w:val="004E3C96"/>
    <w:rsid w:val="004E67C8"/>
    <w:rsid w:val="004F0FD8"/>
    <w:rsid w:val="004F16D9"/>
    <w:rsid w:val="004F255B"/>
    <w:rsid w:val="004F40D6"/>
    <w:rsid w:val="004F4340"/>
    <w:rsid w:val="004F4638"/>
    <w:rsid w:val="004F5371"/>
    <w:rsid w:val="004F776C"/>
    <w:rsid w:val="004F7E7F"/>
    <w:rsid w:val="0050292E"/>
    <w:rsid w:val="00504C5C"/>
    <w:rsid w:val="00506177"/>
    <w:rsid w:val="00507BFD"/>
    <w:rsid w:val="00510494"/>
    <w:rsid w:val="005158EF"/>
    <w:rsid w:val="00515983"/>
    <w:rsid w:val="00520885"/>
    <w:rsid w:val="00522D6E"/>
    <w:rsid w:val="00526A7A"/>
    <w:rsid w:val="00526AEC"/>
    <w:rsid w:val="00527F42"/>
    <w:rsid w:val="0053016E"/>
    <w:rsid w:val="00530444"/>
    <w:rsid w:val="00530E0E"/>
    <w:rsid w:val="00531134"/>
    <w:rsid w:val="00532314"/>
    <w:rsid w:val="00532BA0"/>
    <w:rsid w:val="0053338A"/>
    <w:rsid w:val="00535409"/>
    <w:rsid w:val="00537797"/>
    <w:rsid w:val="00537E25"/>
    <w:rsid w:val="00545AB6"/>
    <w:rsid w:val="00547125"/>
    <w:rsid w:val="00550E5A"/>
    <w:rsid w:val="00552E36"/>
    <w:rsid w:val="005546AD"/>
    <w:rsid w:val="00557191"/>
    <w:rsid w:val="00560079"/>
    <w:rsid w:val="005604E0"/>
    <w:rsid w:val="00563288"/>
    <w:rsid w:val="00563C8F"/>
    <w:rsid w:val="00563F6E"/>
    <w:rsid w:val="00564D6C"/>
    <w:rsid w:val="005662F7"/>
    <w:rsid w:val="005663E6"/>
    <w:rsid w:val="005664C3"/>
    <w:rsid w:val="00566E04"/>
    <w:rsid w:val="005703D9"/>
    <w:rsid w:val="00572246"/>
    <w:rsid w:val="005722E1"/>
    <w:rsid w:val="00572A4E"/>
    <w:rsid w:val="0057326D"/>
    <w:rsid w:val="005738CE"/>
    <w:rsid w:val="00573912"/>
    <w:rsid w:val="00574C2B"/>
    <w:rsid w:val="005751FF"/>
    <w:rsid w:val="00577F0A"/>
    <w:rsid w:val="00583FFA"/>
    <w:rsid w:val="005848C3"/>
    <w:rsid w:val="00584A4E"/>
    <w:rsid w:val="0058590F"/>
    <w:rsid w:val="005860B9"/>
    <w:rsid w:val="00587956"/>
    <w:rsid w:val="00590279"/>
    <w:rsid w:val="00591273"/>
    <w:rsid w:val="00592226"/>
    <w:rsid w:val="00592A92"/>
    <w:rsid w:val="005932CD"/>
    <w:rsid w:val="00594479"/>
    <w:rsid w:val="00595083"/>
    <w:rsid w:val="00596582"/>
    <w:rsid w:val="00597E5F"/>
    <w:rsid w:val="005A2ED6"/>
    <w:rsid w:val="005A3289"/>
    <w:rsid w:val="005A3313"/>
    <w:rsid w:val="005A3482"/>
    <w:rsid w:val="005A4DAE"/>
    <w:rsid w:val="005A5C1C"/>
    <w:rsid w:val="005A70C5"/>
    <w:rsid w:val="005B07A0"/>
    <w:rsid w:val="005B0AB1"/>
    <w:rsid w:val="005B2BB9"/>
    <w:rsid w:val="005B4FC5"/>
    <w:rsid w:val="005B6790"/>
    <w:rsid w:val="005B6B00"/>
    <w:rsid w:val="005C0940"/>
    <w:rsid w:val="005C7164"/>
    <w:rsid w:val="005C7176"/>
    <w:rsid w:val="005D23F4"/>
    <w:rsid w:val="005D25A0"/>
    <w:rsid w:val="005D38BB"/>
    <w:rsid w:val="005D52E0"/>
    <w:rsid w:val="005D714E"/>
    <w:rsid w:val="005D7CC5"/>
    <w:rsid w:val="005D7F2D"/>
    <w:rsid w:val="005E0E66"/>
    <w:rsid w:val="005E31C5"/>
    <w:rsid w:val="005E5025"/>
    <w:rsid w:val="005F1959"/>
    <w:rsid w:val="005F1C5F"/>
    <w:rsid w:val="005F35FB"/>
    <w:rsid w:val="005F46C3"/>
    <w:rsid w:val="005F491C"/>
    <w:rsid w:val="005F4A0B"/>
    <w:rsid w:val="005F744C"/>
    <w:rsid w:val="005F7A4F"/>
    <w:rsid w:val="00600FC3"/>
    <w:rsid w:val="006012BA"/>
    <w:rsid w:val="006017F3"/>
    <w:rsid w:val="00603107"/>
    <w:rsid w:val="00604B3A"/>
    <w:rsid w:val="00605AE7"/>
    <w:rsid w:val="006101D4"/>
    <w:rsid w:val="00610ACD"/>
    <w:rsid w:val="006113A6"/>
    <w:rsid w:val="0061299F"/>
    <w:rsid w:val="00612C1A"/>
    <w:rsid w:val="00612D2F"/>
    <w:rsid w:val="00613FAB"/>
    <w:rsid w:val="006145CE"/>
    <w:rsid w:val="006169D6"/>
    <w:rsid w:val="006173D1"/>
    <w:rsid w:val="00617E6A"/>
    <w:rsid w:val="00620684"/>
    <w:rsid w:val="00625E99"/>
    <w:rsid w:val="0062626D"/>
    <w:rsid w:val="0062663A"/>
    <w:rsid w:val="00630F0A"/>
    <w:rsid w:val="00631870"/>
    <w:rsid w:val="00634EBF"/>
    <w:rsid w:val="006440B8"/>
    <w:rsid w:val="00644C7C"/>
    <w:rsid w:val="00646314"/>
    <w:rsid w:val="0064655C"/>
    <w:rsid w:val="00646AEE"/>
    <w:rsid w:val="0064721D"/>
    <w:rsid w:val="0065103C"/>
    <w:rsid w:val="00651393"/>
    <w:rsid w:val="00651BAF"/>
    <w:rsid w:val="00652818"/>
    <w:rsid w:val="006539AC"/>
    <w:rsid w:val="0065565F"/>
    <w:rsid w:val="00655811"/>
    <w:rsid w:val="00660893"/>
    <w:rsid w:val="00660B7D"/>
    <w:rsid w:val="006623EE"/>
    <w:rsid w:val="00663FCF"/>
    <w:rsid w:val="006643B8"/>
    <w:rsid w:val="006643C7"/>
    <w:rsid w:val="00664CE8"/>
    <w:rsid w:val="00665331"/>
    <w:rsid w:val="006663C2"/>
    <w:rsid w:val="00670C8E"/>
    <w:rsid w:val="00670D66"/>
    <w:rsid w:val="0067190E"/>
    <w:rsid w:val="00673B8F"/>
    <w:rsid w:val="006755C8"/>
    <w:rsid w:val="00680852"/>
    <w:rsid w:val="00680986"/>
    <w:rsid w:val="00682993"/>
    <w:rsid w:val="00683BF1"/>
    <w:rsid w:val="006860E4"/>
    <w:rsid w:val="00686D9A"/>
    <w:rsid w:val="0069556F"/>
    <w:rsid w:val="00695FD0"/>
    <w:rsid w:val="0069654B"/>
    <w:rsid w:val="006966FA"/>
    <w:rsid w:val="00696EBA"/>
    <w:rsid w:val="00696FEB"/>
    <w:rsid w:val="006A0679"/>
    <w:rsid w:val="006A0873"/>
    <w:rsid w:val="006A1921"/>
    <w:rsid w:val="006A2BD5"/>
    <w:rsid w:val="006A3A7C"/>
    <w:rsid w:val="006A4F81"/>
    <w:rsid w:val="006A5880"/>
    <w:rsid w:val="006A5B39"/>
    <w:rsid w:val="006A66DF"/>
    <w:rsid w:val="006A738C"/>
    <w:rsid w:val="006B1363"/>
    <w:rsid w:val="006B38A7"/>
    <w:rsid w:val="006C0DAA"/>
    <w:rsid w:val="006C1F60"/>
    <w:rsid w:val="006C2564"/>
    <w:rsid w:val="006C44DB"/>
    <w:rsid w:val="006C62FE"/>
    <w:rsid w:val="006D0268"/>
    <w:rsid w:val="006D0400"/>
    <w:rsid w:val="006D41D1"/>
    <w:rsid w:val="006D6DF4"/>
    <w:rsid w:val="006D7E63"/>
    <w:rsid w:val="006E171A"/>
    <w:rsid w:val="006E2220"/>
    <w:rsid w:val="006E302C"/>
    <w:rsid w:val="006E718B"/>
    <w:rsid w:val="006F0786"/>
    <w:rsid w:val="006F19E4"/>
    <w:rsid w:val="006F2409"/>
    <w:rsid w:val="006F2895"/>
    <w:rsid w:val="006F3308"/>
    <w:rsid w:val="006F3DC5"/>
    <w:rsid w:val="006F5498"/>
    <w:rsid w:val="006F55CE"/>
    <w:rsid w:val="006F6DE0"/>
    <w:rsid w:val="00701E18"/>
    <w:rsid w:val="00701F99"/>
    <w:rsid w:val="0070219B"/>
    <w:rsid w:val="007060B4"/>
    <w:rsid w:val="007105EF"/>
    <w:rsid w:val="00710FCE"/>
    <w:rsid w:val="00711AD8"/>
    <w:rsid w:val="00712B15"/>
    <w:rsid w:val="007135C3"/>
    <w:rsid w:val="00714FC8"/>
    <w:rsid w:val="00715F6B"/>
    <w:rsid w:val="007164F0"/>
    <w:rsid w:val="00716744"/>
    <w:rsid w:val="007235FC"/>
    <w:rsid w:val="00723AB7"/>
    <w:rsid w:val="00723D75"/>
    <w:rsid w:val="00724790"/>
    <w:rsid w:val="0072561F"/>
    <w:rsid w:val="00726063"/>
    <w:rsid w:val="007270C6"/>
    <w:rsid w:val="00727853"/>
    <w:rsid w:val="00727A3A"/>
    <w:rsid w:val="00727B5F"/>
    <w:rsid w:val="00730421"/>
    <w:rsid w:val="00730845"/>
    <w:rsid w:val="007377B0"/>
    <w:rsid w:val="007413A8"/>
    <w:rsid w:val="007414E5"/>
    <w:rsid w:val="00742711"/>
    <w:rsid w:val="00744385"/>
    <w:rsid w:val="00744ABA"/>
    <w:rsid w:val="00744D1A"/>
    <w:rsid w:val="00746A05"/>
    <w:rsid w:val="0074745F"/>
    <w:rsid w:val="00750E7D"/>
    <w:rsid w:val="0075178D"/>
    <w:rsid w:val="00753D91"/>
    <w:rsid w:val="00755041"/>
    <w:rsid w:val="007560CF"/>
    <w:rsid w:val="007576E8"/>
    <w:rsid w:val="00762F21"/>
    <w:rsid w:val="007635E0"/>
    <w:rsid w:val="007637D7"/>
    <w:rsid w:val="00764878"/>
    <w:rsid w:val="00765214"/>
    <w:rsid w:val="00765368"/>
    <w:rsid w:val="0076640A"/>
    <w:rsid w:val="00766A3A"/>
    <w:rsid w:val="00770A46"/>
    <w:rsid w:val="007710D5"/>
    <w:rsid w:val="00775935"/>
    <w:rsid w:val="00776282"/>
    <w:rsid w:val="00776BA5"/>
    <w:rsid w:val="007807A1"/>
    <w:rsid w:val="00781C42"/>
    <w:rsid w:val="0078302A"/>
    <w:rsid w:val="00784BC5"/>
    <w:rsid w:val="00785C88"/>
    <w:rsid w:val="00790ECF"/>
    <w:rsid w:val="007929C7"/>
    <w:rsid w:val="00792D74"/>
    <w:rsid w:val="00794515"/>
    <w:rsid w:val="00796040"/>
    <w:rsid w:val="0079612D"/>
    <w:rsid w:val="007A22B5"/>
    <w:rsid w:val="007A2741"/>
    <w:rsid w:val="007A2D0B"/>
    <w:rsid w:val="007A3693"/>
    <w:rsid w:val="007A39D5"/>
    <w:rsid w:val="007A487C"/>
    <w:rsid w:val="007A6097"/>
    <w:rsid w:val="007A65A4"/>
    <w:rsid w:val="007B1CCE"/>
    <w:rsid w:val="007B3487"/>
    <w:rsid w:val="007B4E2C"/>
    <w:rsid w:val="007B6BC2"/>
    <w:rsid w:val="007B76B2"/>
    <w:rsid w:val="007C0113"/>
    <w:rsid w:val="007C0D0C"/>
    <w:rsid w:val="007C150E"/>
    <w:rsid w:val="007C2477"/>
    <w:rsid w:val="007C2DCD"/>
    <w:rsid w:val="007C4B10"/>
    <w:rsid w:val="007C6C6A"/>
    <w:rsid w:val="007C7C21"/>
    <w:rsid w:val="007D16CE"/>
    <w:rsid w:val="007D1D06"/>
    <w:rsid w:val="007D2980"/>
    <w:rsid w:val="007D2D0D"/>
    <w:rsid w:val="007D5193"/>
    <w:rsid w:val="007D5362"/>
    <w:rsid w:val="007E1206"/>
    <w:rsid w:val="007E296E"/>
    <w:rsid w:val="007E307A"/>
    <w:rsid w:val="007E36D1"/>
    <w:rsid w:val="007E4172"/>
    <w:rsid w:val="007E6999"/>
    <w:rsid w:val="007E7428"/>
    <w:rsid w:val="007F02D2"/>
    <w:rsid w:val="007F0F10"/>
    <w:rsid w:val="007F107F"/>
    <w:rsid w:val="007F190E"/>
    <w:rsid w:val="007F5783"/>
    <w:rsid w:val="007F6077"/>
    <w:rsid w:val="007F7477"/>
    <w:rsid w:val="00801C0B"/>
    <w:rsid w:val="008046CF"/>
    <w:rsid w:val="0080508C"/>
    <w:rsid w:val="008107BC"/>
    <w:rsid w:val="00810F54"/>
    <w:rsid w:val="008128E4"/>
    <w:rsid w:val="00813A3D"/>
    <w:rsid w:val="00816115"/>
    <w:rsid w:val="0082012A"/>
    <w:rsid w:val="008204BE"/>
    <w:rsid w:val="00822AA5"/>
    <w:rsid w:val="00833366"/>
    <w:rsid w:val="00835D8D"/>
    <w:rsid w:val="00840CD5"/>
    <w:rsid w:val="00841807"/>
    <w:rsid w:val="008426F6"/>
    <w:rsid w:val="00842F05"/>
    <w:rsid w:val="0084343E"/>
    <w:rsid w:val="00843C64"/>
    <w:rsid w:val="008452CD"/>
    <w:rsid w:val="00845D37"/>
    <w:rsid w:val="008507F0"/>
    <w:rsid w:val="00850878"/>
    <w:rsid w:val="008548B2"/>
    <w:rsid w:val="00855605"/>
    <w:rsid w:val="00856466"/>
    <w:rsid w:val="008576A0"/>
    <w:rsid w:val="00857F69"/>
    <w:rsid w:val="00860C1B"/>
    <w:rsid w:val="00860D31"/>
    <w:rsid w:val="008617CF"/>
    <w:rsid w:val="00861FD4"/>
    <w:rsid w:val="00862016"/>
    <w:rsid w:val="00865F38"/>
    <w:rsid w:val="00867F88"/>
    <w:rsid w:val="00874206"/>
    <w:rsid w:val="008755D3"/>
    <w:rsid w:val="00876F0B"/>
    <w:rsid w:val="008777F1"/>
    <w:rsid w:val="00877A21"/>
    <w:rsid w:val="00880224"/>
    <w:rsid w:val="0088260A"/>
    <w:rsid w:val="00882697"/>
    <w:rsid w:val="00883322"/>
    <w:rsid w:val="008839C4"/>
    <w:rsid w:val="00883C08"/>
    <w:rsid w:val="00884648"/>
    <w:rsid w:val="00890C3A"/>
    <w:rsid w:val="008920D9"/>
    <w:rsid w:val="00894A29"/>
    <w:rsid w:val="008954EA"/>
    <w:rsid w:val="00895A15"/>
    <w:rsid w:val="00895EAA"/>
    <w:rsid w:val="0089724E"/>
    <w:rsid w:val="008A0646"/>
    <w:rsid w:val="008A07B3"/>
    <w:rsid w:val="008A1528"/>
    <w:rsid w:val="008A303E"/>
    <w:rsid w:val="008A3305"/>
    <w:rsid w:val="008A4FB7"/>
    <w:rsid w:val="008A5167"/>
    <w:rsid w:val="008A58D6"/>
    <w:rsid w:val="008A65C1"/>
    <w:rsid w:val="008A6B47"/>
    <w:rsid w:val="008A7012"/>
    <w:rsid w:val="008A7120"/>
    <w:rsid w:val="008B026D"/>
    <w:rsid w:val="008B0D8E"/>
    <w:rsid w:val="008B2BDD"/>
    <w:rsid w:val="008B710D"/>
    <w:rsid w:val="008B7AA6"/>
    <w:rsid w:val="008B7D28"/>
    <w:rsid w:val="008C2184"/>
    <w:rsid w:val="008C2D31"/>
    <w:rsid w:val="008C3759"/>
    <w:rsid w:val="008C6A49"/>
    <w:rsid w:val="008C6F85"/>
    <w:rsid w:val="008D19AA"/>
    <w:rsid w:val="008D1AC0"/>
    <w:rsid w:val="008D303A"/>
    <w:rsid w:val="008D3E4A"/>
    <w:rsid w:val="008D3E7E"/>
    <w:rsid w:val="008D3FAE"/>
    <w:rsid w:val="008D48B8"/>
    <w:rsid w:val="008D4E0D"/>
    <w:rsid w:val="008D6678"/>
    <w:rsid w:val="008E4455"/>
    <w:rsid w:val="008E47A0"/>
    <w:rsid w:val="008E5257"/>
    <w:rsid w:val="008F172B"/>
    <w:rsid w:val="008F5C89"/>
    <w:rsid w:val="008F7667"/>
    <w:rsid w:val="00901379"/>
    <w:rsid w:val="00901DBC"/>
    <w:rsid w:val="0090235B"/>
    <w:rsid w:val="00903302"/>
    <w:rsid w:val="00907335"/>
    <w:rsid w:val="009120F6"/>
    <w:rsid w:val="00912E8F"/>
    <w:rsid w:val="00913C75"/>
    <w:rsid w:val="00913FD0"/>
    <w:rsid w:val="00915E9A"/>
    <w:rsid w:val="009218BC"/>
    <w:rsid w:val="0092336F"/>
    <w:rsid w:val="00923D96"/>
    <w:rsid w:val="00927467"/>
    <w:rsid w:val="00927B60"/>
    <w:rsid w:val="00930029"/>
    <w:rsid w:val="009312ED"/>
    <w:rsid w:val="00933C06"/>
    <w:rsid w:val="00933EF0"/>
    <w:rsid w:val="00934394"/>
    <w:rsid w:val="00935C68"/>
    <w:rsid w:val="00935DE0"/>
    <w:rsid w:val="00935DF3"/>
    <w:rsid w:val="00940713"/>
    <w:rsid w:val="009412EB"/>
    <w:rsid w:val="00943013"/>
    <w:rsid w:val="00947B76"/>
    <w:rsid w:val="00951975"/>
    <w:rsid w:val="00951E5C"/>
    <w:rsid w:val="009526A3"/>
    <w:rsid w:val="009538EF"/>
    <w:rsid w:val="00953A3F"/>
    <w:rsid w:val="00956A1F"/>
    <w:rsid w:val="009577A1"/>
    <w:rsid w:val="0096281B"/>
    <w:rsid w:val="00962879"/>
    <w:rsid w:val="00962AB0"/>
    <w:rsid w:val="00963E13"/>
    <w:rsid w:val="00964492"/>
    <w:rsid w:val="00966665"/>
    <w:rsid w:val="00967E99"/>
    <w:rsid w:val="00970A1D"/>
    <w:rsid w:val="00971E60"/>
    <w:rsid w:val="00972C5A"/>
    <w:rsid w:val="0097572A"/>
    <w:rsid w:val="00976411"/>
    <w:rsid w:val="00976C51"/>
    <w:rsid w:val="0097720B"/>
    <w:rsid w:val="00977958"/>
    <w:rsid w:val="0098077A"/>
    <w:rsid w:val="00982397"/>
    <w:rsid w:val="00982EFA"/>
    <w:rsid w:val="00983E33"/>
    <w:rsid w:val="00985EFE"/>
    <w:rsid w:val="0098634C"/>
    <w:rsid w:val="00986880"/>
    <w:rsid w:val="00992219"/>
    <w:rsid w:val="009924E7"/>
    <w:rsid w:val="0099269C"/>
    <w:rsid w:val="009926DF"/>
    <w:rsid w:val="00995379"/>
    <w:rsid w:val="00996463"/>
    <w:rsid w:val="009A0993"/>
    <w:rsid w:val="009A32A9"/>
    <w:rsid w:val="009A48FB"/>
    <w:rsid w:val="009A4E2E"/>
    <w:rsid w:val="009A5266"/>
    <w:rsid w:val="009A5353"/>
    <w:rsid w:val="009B133D"/>
    <w:rsid w:val="009B2603"/>
    <w:rsid w:val="009B592E"/>
    <w:rsid w:val="009B637B"/>
    <w:rsid w:val="009B6DFA"/>
    <w:rsid w:val="009B7256"/>
    <w:rsid w:val="009B7BC2"/>
    <w:rsid w:val="009C02D1"/>
    <w:rsid w:val="009C3FFD"/>
    <w:rsid w:val="009C4F26"/>
    <w:rsid w:val="009C5B1B"/>
    <w:rsid w:val="009C6167"/>
    <w:rsid w:val="009C658A"/>
    <w:rsid w:val="009C69FF"/>
    <w:rsid w:val="009C7D0B"/>
    <w:rsid w:val="009D2EF0"/>
    <w:rsid w:val="009D2F55"/>
    <w:rsid w:val="009D3029"/>
    <w:rsid w:val="009D4348"/>
    <w:rsid w:val="009D532F"/>
    <w:rsid w:val="009D6A8B"/>
    <w:rsid w:val="009D7370"/>
    <w:rsid w:val="009E1A80"/>
    <w:rsid w:val="009E2FBA"/>
    <w:rsid w:val="009E36F0"/>
    <w:rsid w:val="009E40D3"/>
    <w:rsid w:val="009E52E8"/>
    <w:rsid w:val="009E7BE4"/>
    <w:rsid w:val="009F0C5A"/>
    <w:rsid w:val="009F0E6C"/>
    <w:rsid w:val="009F18A7"/>
    <w:rsid w:val="009F2DFD"/>
    <w:rsid w:val="009F3C48"/>
    <w:rsid w:val="009F4557"/>
    <w:rsid w:val="009F783A"/>
    <w:rsid w:val="00A00FC2"/>
    <w:rsid w:val="00A01121"/>
    <w:rsid w:val="00A02CCD"/>
    <w:rsid w:val="00A03754"/>
    <w:rsid w:val="00A055A6"/>
    <w:rsid w:val="00A060E7"/>
    <w:rsid w:val="00A10252"/>
    <w:rsid w:val="00A139ED"/>
    <w:rsid w:val="00A14746"/>
    <w:rsid w:val="00A14BFF"/>
    <w:rsid w:val="00A15677"/>
    <w:rsid w:val="00A163C7"/>
    <w:rsid w:val="00A16414"/>
    <w:rsid w:val="00A1652E"/>
    <w:rsid w:val="00A2090D"/>
    <w:rsid w:val="00A20F68"/>
    <w:rsid w:val="00A2154D"/>
    <w:rsid w:val="00A2286E"/>
    <w:rsid w:val="00A26AD0"/>
    <w:rsid w:val="00A26E4A"/>
    <w:rsid w:val="00A277C7"/>
    <w:rsid w:val="00A31641"/>
    <w:rsid w:val="00A31A58"/>
    <w:rsid w:val="00A321A6"/>
    <w:rsid w:val="00A34601"/>
    <w:rsid w:val="00A34BAF"/>
    <w:rsid w:val="00A3531F"/>
    <w:rsid w:val="00A35552"/>
    <w:rsid w:val="00A36DDD"/>
    <w:rsid w:val="00A4090B"/>
    <w:rsid w:val="00A40A67"/>
    <w:rsid w:val="00A42856"/>
    <w:rsid w:val="00A42CF0"/>
    <w:rsid w:val="00A43392"/>
    <w:rsid w:val="00A44736"/>
    <w:rsid w:val="00A4783E"/>
    <w:rsid w:val="00A51431"/>
    <w:rsid w:val="00A52445"/>
    <w:rsid w:val="00A5673A"/>
    <w:rsid w:val="00A5686A"/>
    <w:rsid w:val="00A572A9"/>
    <w:rsid w:val="00A57593"/>
    <w:rsid w:val="00A57BAA"/>
    <w:rsid w:val="00A61AC4"/>
    <w:rsid w:val="00A67458"/>
    <w:rsid w:val="00A67885"/>
    <w:rsid w:val="00A67E3F"/>
    <w:rsid w:val="00A70C2A"/>
    <w:rsid w:val="00A70EA3"/>
    <w:rsid w:val="00A70F55"/>
    <w:rsid w:val="00A7165A"/>
    <w:rsid w:val="00A71D28"/>
    <w:rsid w:val="00A72640"/>
    <w:rsid w:val="00A727A2"/>
    <w:rsid w:val="00A732A4"/>
    <w:rsid w:val="00A7402C"/>
    <w:rsid w:val="00A74A3D"/>
    <w:rsid w:val="00A74FA0"/>
    <w:rsid w:val="00A750C1"/>
    <w:rsid w:val="00A775BD"/>
    <w:rsid w:val="00A810C1"/>
    <w:rsid w:val="00A82423"/>
    <w:rsid w:val="00A832F0"/>
    <w:rsid w:val="00A83E5C"/>
    <w:rsid w:val="00A84266"/>
    <w:rsid w:val="00A84571"/>
    <w:rsid w:val="00A84798"/>
    <w:rsid w:val="00A91C4F"/>
    <w:rsid w:val="00A92D6F"/>
    <w:rsid w:val="00A94962"/>
    <w:rsid w:val="00A97A88"/>
    <w:rsid w:val="00AA001A"/>
    <w:rsid w:val="00AA0692"/>
    <w:rsid w:val="00AA079F"/>
    <w:rsid w:val="00AA0AA9"/>
    <w:rsid w:val="00AA1685"/>
    <w:rsid w:val="00AA1CDB"/>
    <w:rsid w:val="00AA2C54"/>
    <w:rsid w:val="00AA3C8E"/>
    <w:rsid w:val="00AA6709"/>
    <w:rsid w:val="00AA7301"/>
    <w:rsid w:val="00AA789D"/>
    <w:rsid w:val="00AB03E7"/>
    <w:rsid w:val="00AB0C8B"/>
    <w:rsid w:val="00AB1946"/>
    <w:rsid w:val="00AB62FD"/>
    <w:rsid w:val="00AB6463"/>
    <w:rsid w:val="00AC0468"/>
    <w:rsid w:val="00AC0568"/>
    <w:rsid w:val="00AC0E0C"/>
    <w:rsid w:val="00AC4D68"/>
    <w:rsid w:val="00AC50DB"/>
    <w:rsid w:val="00AC6A60"/>
    <w:rsid w:val="00AC7BE0"/>
    <w:rsid w:val="00AD2F25"/>
    <w:rsid w:val="00AD4E62"/>
    <w:rsid w:val="00AD5FC8"/>
    <w:rsid w:val="00AD64C7"/>
    <w:rsid w:val="00AD65C3"/>
    <w:rsid w:val="00AD77D2"/>
    <w:rsid w:val="00AE03AB"/>
    <w:rsid w:val="00AE12E6"/>
    <w:rsid w:val="00AE29F7"/>
    <w:rsid w:val="00AE2FE9"/>
    <w:rsid w:val="00AE396F"/>
    <w:rsid w:val="00AE77D4"/>
    <w:rsid w:val="00AE7DF1"/>
    <w:rsid w:val="00AF0957"/>
    <w:rsid w:val="00AF120E"/>
    <w:rsid w:val="00AF1448"/>
    <w:rsid w:val="00AF1D47"/>
    <w:rsid w:val="00AF2553"/>
    <w:rsid w:val="00AF3066"/>
    <w:rsid w:val="00AF441D"/>
    <w:rsid w:val="00AF45EF"/>
    <w:rsid w:val="00AF491C"/>
    <w:rsid w:val="00AF6453"/>
    <w:rsid w:val="00AF788D"/>
    <w:rsid w:val="00B003E4"/>
    <w:rsid w:val="00B018CA"/>
    <w:rsid w:val="00B01A87"/>
    <w:rsid w:val="00B021CD"/>
    <w:rsid w:val="00B0260A"/>
    <w:rsid w:val="00B04045"/>
    <w:rsid w:val="00B04475"/>
    <w:rsid w:val="00B05BF0"/>
    <w:rsid w:val="00B06E9D"/>
    <w:rsid w:val="00B07EAE"/>
    <w:rsid w:val="00B116C5"/>
    <w:rsid w:val="00B14B9E"/>
    <w:rsid w:val="00B2031F"/>
    <w:rsid w:val="00B20401"/>
    <w:rsid w:val="00B216AB"/>
    <w:rsid w:val="00B23B36"/>
    <w:rsid w:val="00B246E6"/>
    <w:rsid w:val="00B2538C"/>
    <w:rsid w:val="00B25D7E"/>
    <w:rsid w:val="00B30905"/>
    <w:rsid w:val="00B34F78"/>
    <w:rsid w:val="00B35FA2"/>
    <w:rsid w:val="00B367A2"/>
    <w:rsid w:val="00B369CF"/>
    <w:rsid w:val="00B4158B"/>
    <w:rsid w:val="00B448B5"/>
    <w:rsid w:val="00B45B52"/>
    <w:rsid w:val="00B4689C"/>
    <w:rsid w:val="00B5085C"/>
    <w:rsid w:val="00B50CFD"/>
    <w:rsid w:val="00B513C7"/>
    <w:rsid w:val="00B52043"/>
    <w:rsid w:val="00B521C2"/>
    <w:rsid w:val="00B52307"/>
    <w:rsid w:val="00B52B0D"/>
    <w:rsid w:val="00B53EF9"/>
    <w:rsid w:val="00B56E7A"/>
    <w:rsid w:val="00B6018D"/>
    <w:rsid w:val="00B60A6B"/>
    <w:rsid w:val="00B6296A"/>
    <w:rsid w:val="00B62FDB"/>
    <w:rsid w:val="00B65DCD"/>
    <w:rsid w:val="00B679D9"/>
    <w:rsid w:val="00B67D7B"/>
    <w:rsid w:val="00B71087"/>
    <w:rsid w:val="00B7215C"/>
    <w:rsid w:val="00B730CB"/>
    <w:rsid w:val="00B73E1B"/>
    <w:rsid w:val="00B75AE6"/>
    <w:rsid w:val="00B80B59"/>
    <w:rsid w:val="00B81B17"/>
    <w:rsid w:val="00B82CAC"/>
    <w:rsid w:val="00B84BFE"/>
    <w:rsid w:val="00B85D37"/>
    <w:rsid w:val="00B86611"/>
    <w:rsid w:val="00B91B0E"/>
    <w:rsid w:val="00B9284E"/>
    <w:rsid w:val="00B93E91"/>
    <w:rsid w:val="00B945FB"/>
    <w:rsid w:val="00B949B1"/>
    <w:rsid w:val="00B97A91"/>
    <w:rsid w:val="00BA252B"/>
    <w:rsid w:val="00BA2834"/>
    <w:rsid w:val="00BA6D30"/>
    <w:rsid w:val="00BB15A2"/>
    <w:rsid w:val="00BB1637"/>
    <w:rsid w:val="00BB2435"/>
    <w:rsid w:val="00BB2BAA"/>
    <w:rsid w:val="00BB449F"/>
    <w:rsid w:val="00BB51E1"/>
    <w:rsid w:val="00BB6368"/>
    <w:rsid w:val="00BB7107"/>
    <w:rsid w:val="00BB775D"/>
    <w:rsid w:val="00BC202E"/>
    <w:rsid w:val="00BC2EE3"/>
    <w:rsid w:val="00BC47D6"/>
    <w:rsid w:val="00BC592D"/>
    <w:rsid w:val="00BD09A1"/>
    <w:rsid w:val="00BD119D"/>
    <w:rsid w:val="00BD1AAD"/>
    <w:rsid w:val="00BD1FCD"/>
    <w:rsid w:val="00BD3020"/>
    <w:rsid w:val="00BD4A13"/>
    <w:rsid w:val="00BD5F01"/>
    <w:rsid w:val="00BE0BBD"/>
    <w:rsid w:val="00BE1740"/>
    <w:rsid w:val="00BE302B"/>
    <w:rsid w:val="00BE657F"/>
    <w:rsid w:val="00BE6F9C"/>
    <w:rsid w:val="00BE7C3E"/>
    <w:rsid w:val="00BF05B2"/>
    <w:rsid w:val="00BF2761"/>
    <w:rsid w:val="00BF3BB2"/>
    <w:rsid w:val="00BF474E"/>
    <w:rsid w:val="00BF4A7F"/>
    <w:rsid w:val="00BF4B93"/>
    <w:rsid w:val="00BF53F4"/>
    <w:rsid w:val="00BF577D"/>
    <w:rsid w:val="00BF5A19"/>
    <w:rsid w:val="00C005D6"/>
    <w:rsid w:val="00C006AE"/>
    <w:rsid w:val="00C02047"/>
    <w:rsid w:val="00C03697"/>
    <w:rsid w:val="00C0522F"/>
    <w:rsid w:val="00C05862"/>
    <w:rsid w:val="00C068C1"/>
    <w:rsid w:val="00C07011"/>
    <w:rsid w:val="00C07454"/>
    <w:rsid w:val="00C07989"/>
    <w:rsid w:val="00C102F2"/>
    <w:rsid w:val="00C118AD"/>
    <w:rsid w:val="00C12182"/>
    <w:rsid w:val="00C15276"/>
    <w:rsid w:val="00C15B55"/>
    <w:rsid w:val="00C16E54"/>
    <w:rsid w:val="00C17117"/>
    <w:rsid w:val="00C171C4"/>
    <w:rsid w:val="00C21983"/>
    <w:rsid w:val="00C22468"/>
    <w:rsid w:val="00C22ACE"/>
    <w:rsid w:val="00C24511"/>
    <w:rsid w:val="00C2786A"/>
    <w:rsid w:val="00C27F9F"/>
    <w:rsid w:val="00C30747"/>
    <w:rsid w:val="00C317ED"/>
    <w:rsid w:val="00C322F8"/>
    <w:rsid w:val="00C32873"/>
    <w:rsid w:val="00C33766"/>
    <w:rsid w:val="00C33D0A"/>
    <w:rsid w:val="00C348AE"/>
    <w:rsid w:val="00C37E58"/>
    <w:rsid w:val="00C4063B"/>
    <w:rsid w:val="00C41C74"/>
    <w:rsid w:val="00C41E53"/>
    <w:rsid w:val="00C4273F"/>
    <w:rsid w:val="00C42A31"/>
    <w:rsid w:val="00C43198"/>
    <w:rsid w:val="00C4495C"/>
    <w:rsid w:val="00C50FC9"/>
    <w:rsid w:val="00C51858"/>
    <w:rsid w:val="00C52A53"/>
    <w:rsid w:val="00C54FCF"/>
    <w:rsid w:val="00C55D8D"/>
    <w:rsid w:val="00C56819"/>
    <w:rsid w:val="00C56A9C"/>
    <w:rsid w:val="00C57B0C"/>
    <w:rsid w:val="00C66C55"/>
    <w:rsid w:val="00C670DB"/>
    <w:rsid w:val="00C67772"/>
    <w:rsid w:val="00C67F79"/>
    <w:rsid w:val="00C71A43"/>
    <w:rsid w:val="00C727B0"/>
    <w:rsid w:val="00C728C1"/>
    <w:rsid w:val="00C739DC"/>
    <w:rsid w:val="00C81119"/>
    <w:rsid w:val="00C83201"/>
    <w:rsid w:val="00C83B43"/>
    <w:rsid w:val="00C83D31"/>
    <w:rsid w:val="00C843E7"/>
    <w:rsid w:val="00C855E1"/>
    <w:rsid w:val="00C85708"/>
    <w:rsid w:val="00C85E35"/>
    <w:rsid w:val="00C86701"/>
    <w:rsid w:val="00C91526"/>
    <w:rsid w:val="00C921F5"/>
    <w:rsid w:val="00C936E2"/>
    <w:rsid w:val="00C9479D"/>
    <w:rsid w:val="00C947AC"/>
    <w:rsid w:val="00C94AD1"/>
    <w:rsid w:val="00C976C3"/>
    <w:rsid w:val="00C977AA"/>
    <w:rsid w:val="00CA2369"/>
    <w:rsid w:val="00CA32CB"/>
    <w:rsid w:val="00CA39E9"/>
    <w:rsid w:val="00CA4822"/>
    <w:rsid w:val="00CA5C6F"/>
    <w:rsid w:val="00CB2DB1"/>
    <w:rsid w:val="00CB7093"/>
    <w:rsid w:val="00CB77E0"/>
    <w:rsid w:val="00CC0073"/>
    <w:rsid w:val="00CC1749"/>
    <w:rsid w:val="00CC37A9"/>
    <w:rsid w:val="00CD0EB6"/>
    <w:rsid w:val="00CD11FA"/>
    <w:rsid w:val="00CD1B33"/>
    <w:rsid w:val="00CD67D2"/>
    <w:rsid w:val="00CD6F62"/>
    <w:rsid w:val="00CE07E8"/>
    <w:rsid w:val="00CE0CD3"/>
    <w:rsid w:val="00CE20CD"/>
    <w:rsid w:val="00CE225C"/>
    <w:rsid w:val="00CE322B"/>
    <w:rsid w:val="00CE3B99"/>
    <w:rsid w:val="00CE5568"/>
    <w:rsid w:val="00CE5955"/>
    <w:rsid w:val="00CE6EA7"/>
    <w:rsid w:val="00CE76F5"/>
    <w:rsid w:val="00CF1B85"/>
    <w:rsid w:val="00D00E29"/>
    <w:rsid w:val="00D02414"/>
    <w:rsid w:val="00D02E20"/>
    <w:rsid w:val="00D04BB3"/>
    <w:rsid w:val="00D04D85"/>
    <w:rsid w:val="00D0668D"/>
    <w:rsid w:val="00D06984"/>
    <w:rsid w:val="00D07FBA"/>
    <w:rsid w:val="00D112E2"/>
    <w:rsid w:val="00D13BDD"/>
    <w:rsid w:val="00D144DE"/>
    <w:rsid w:val="00D14F9E"/>
    <w:rsid w:val="00D22225"/>
    <w:rsid w:val="00D23E63"/>
    <w:rsid w:val="00D2416F"/>
    <w:rsid w:val="00D24F3F"/>
    <w:rsid w:val="00D255F8"/>
    <w:rsid w:val="00D25F10"/>
    <w:rsid w:val="00D26CE6"/>
    <w:rsid w:val="00D27C0F"/>
    <w:rsid w:val="00D306D1"/>
    <w:rsid w:val="00D32178"/>
    <w:rsid w:val="00D32DE6"/>
    <w:rsid w:val="00D34BDE"/>
    <w:rsid w:val="00D35B6C"/>
    <w:rsid w:val="00D3734A"/>
    <w:rsid w:val="00D3754A"/>
    <w:rsid w:val="00D37D35"/>
    <w:rsid w:val="00D37DCE"/>
    <w:rsid w:val="00D40132"/>
    <w:rsid w:val="00D46A9F"/>
    <w:rsid w:val="00D46B29"/>
    <w:rsid w:val="00D47552"/>
    <w:rsid w:val="00D507B1"/>
    <w:rsid w:val="00D51298"/>
    <w:rsid w:val="00D5216E"/>
    <w:rsid w:val="00D538E7"/>
    <w:rsid w:val="00D57D30"/>
    <w:rsid w:val="00D60B2B"/>
    <w:rsid w:val="00D60C52"/>
    <w:rsid w:val="00D63DC8"/>
    <w:rsid w:val="00D65291"/>
    <w:rsid w:val="00D66B9C"/>
    <w:rsid w:val="00D70320"/>
    <w:rsid w:val="00D711BF"/>
    <w:rsid w:val="00D715DD"/>
    <w:rsid w:val="00D719BA"/>
    <w:rsid w:val="00D7430A"/>
    <w:rsid w:val="00D74BC4"/>
    <w:rsid w:val="00D7581D"/>
    <w:rsid w:val="00D76009"/>
    <w:rsid w:val="00D772CA"/>
    <w:rsid w:val="00D773C5"/>
    <w:rsid w:val="00D801DE"/>
    <w:rsid w:val="00D803EA"/>
    <w:rsid w:val="00D8046B"/>
    <w:rsid w:val="00D818E6"/>
    <w:rsid w:val="00D82B73"/>
    <w:rsid w:val="00D834FF"/>
    <w:rsid w:val="00D85941"/>
    <w:rsid w:val="00D86A5D"/>
    <w:rsid w:val="00D90118"/>
    <w:rsid w:val="00D917F6"/>
    <w:rsid w:val="00D94815"/>
    <w:rsid w:val="00D9563F"/>
    <w:rsid w:val="00D97945"/>
    <w:rsid w:val="00DA2487"/>
    <w:rsid w:val="00DA3780"/>
    <w:rsid w:val="00DA37B4"/>
    <w:rsid w:val="00DA487C"/>
    <w:rsid w:val="00DA4F3F"/>
    <w:rsid w:val="00DA585C"/>
    <w:rsid w:val="00DB0F1D"/>
    <w:rsid w:val="00DB252F"/>
    <w:rsid w:val="00DB3020"/>
    <w:rsid w:val="00DB4BB4"/>
    <w:rsid w:val="00DB6D26"/>
    <w:rsid w:val="00DB70C6"/>
    <w:rsid w:val="00DB78F6"/>
    <w:rsid w:val="00DC092F"/>
    <w:rsid w:val="00DC0B96"/>
    <w:rsid w:val="00DC0D07"/>
    <w:rsid w:val="00DC1DE3"/>
    <w:rsid w:val="00DC3695"/>
    <w:rsid w:val="00DC7D86"/>
    <w:rsid w:val="00DD0B37"/>
    <w:rsid w:val="00DD182E"/>
    <w:rsid w:val="00DD47F1"/>
    <w:rsid w:val="00DD4C47"/>
    <w:rsid w:val="00DE287B"/>
    <w:rsid w:val="00DE3001"/>
    <w:rsid w:val="00DE338A"/>
    <w:rsid w:val="00DE345C"/>
    <w:rsid w:val="00DE5B1F"/>
    <w:rsid w:val="00DE6E20"/>
    <w:rsid w:val="00DE7418"/>
    <w:rsid w:val="00DE78E2"/>
    <w:rsid w:val="00DF0B04"/>
    <w:rsid w:val="00DF34F3"/>
    <w:rsid w:val="00DF4119"/>
    <w:rsid w:val="00DF4D2B"/>
    <w:rsid w:val="00DF53F7"/>
    <w:rsid w:val="00DF7434"/>
    <w:rsid w:val="00DF7564"/>
    <w:rsid w:val="00E001B8"/>
    <w:rsid w:val="00E00B0F"/>
    <w:rsid w:val="00E00B1A"/>
    <w:rsid w:val="00E038AE"/>
    <w:rsid w:val="00E056E3"/>
    <w:rsid w:val="00E12272"/>
    <w:rsid w:val="00E12B15"/>
    <w:rsid w:val="00E1327D"/>
    <w:rsid w:val="00E1575E"/>
    <w:rsid w:val="00E207A8"/>
    <w:rsid w:val="00E246E2"/>
    <w:rsid w:val="00E24719"/>
    <w:rsid w:val="00E27E7D"/>
    <w:rsid w:val="00E310D6"/>
    <w:rsid w:val="00E31E1D"/>
    <w:rsid w:val="00E338A2"/>
    <w:rsid w:val="00E338DE"/>
    <w:rsid w:val="00E37A85"/>
    <w:rsid w:val="00E43624"/>
    <w:rsid w:val="00E44E95"/>
    <w:rsid w:val="00E458C7"/>
    <w:rsid w:val="00E466E7"/>
    <w:rsid w:val="00E5064C"/>
    <w:rsid w:val="00E542B4"/>
    <w:rsid w:val="00E54384"/>
    <w:rsid w:val="00E61479"/>
    <w:rsid w:val="00E616FD"/>
    <w:rsid w:val="00E62069"/>
    <w:rsid w:val="00E63578"/>
    <w:rsid w:val="00E635D3"/>
    <w:rsid w:val="00E6385C"/>
    <w:rsid w:val="00E664DF"/>
    <w:rsid w:val="00E67B53"/>
    <w:rsid w:val="00E70D52"/>
    <w:rsid w:val="00E70DB9"/>
    <w:rsid w:val="00E753D0"/>
    <w:rsid w:val="00E75A39"/>
    <w:rsid w:val="00E7762B"/>
    <w:rsid w:val="00E8025B"/>
    <w:rsid w:val="00E80539"/>
    <w:rsid w:val="00E863A8"/>
    <w:rsid w:val="00E87E9F"/>
    <w:rsid w:val="00E87FB6"/>
    <w:rsid w:val="00E90439"/>
    <w:rsid w:val="00E907F8"/>
    <w:rsid w:val="00E91EB4"/>
    <w:rsid w:val="00E92FF0"/>
    <w:rsid w:val="00E94169"/>
    <w:rsid w:val="00E941EC"/>
    <w:rsid w:val="00E97ACB"/>
    <w:rsid w:val="00EA476D"/>
    <w:rsid w:val="00EA4C79"/>
    <w:rsid w:val="00EA5560"/>
    <w:rsid w:val="00EA682E"/>
    <w:rsid w:val="00EA69E4"/>
    <w:rsid w:val="00EA71CF"/>
    <w:rsid w:val="00EA7226"/>
    <w:rsid w:val="00EA78CB"/>
    <w:rsid w:val="00EA7A56"/>
    <w:rsid w:val="00EB03F1"/>
    <w:rsid w:val="00EB0ADE"/>
    <w:rsid w:val="00EB3ECA"/>
    <w:rsid w:val="00EB5CC3"/>
    <w:rsid w:val="00EB5D74"/>
    <w:rsid w:val="00EB6F33"/>
    <w:rsid w:val="00EC083A"/>
    <w:rsid w:val="00EC16CC"/>
    <w:rsid w:val="00EC1E93"/>
    <w:rsid w:val="00EC35E5"/>
    <w:rsid w:val="00EC3D1B"/>
    <w:rsid w:val="00EC406D"/>
    <w:rsid w:val="00EC54DE"/>
    <w:rsid w:val="00EC7655"/>
    <w:rsid w:val="00ED02F5"/>
    <w:rsid w:val="00ED17FD"/>
    <w:rsid w:val="00ED2166"/>
    <w:rsid w:val="00ED2201"/>
    <w:rsid w:val="00ED2473"/>
    <w:rsid w:val="00ED261D"/>
    <w:rsid w:val="00ED33EF"/>
    <w:rsid w:val="00ED3B2E"/>
    <w:rsid w:val="00ED4818"/>
    <w:rsid w:val="00ED4DAD"/>
    <w:rsid w:val="00ED522A"/>
    <w:rsid w:val="00ED6286"/>
    <w:rsid w:val="00EE2510"/>
    <w:rsid w:val="00EE3382"/>
    <w:rsid w:val="00EE544A"/>
    <w:rsid w:val="00EE5709"/>
    <w:rsid w:val="00EE5E50"/>
    <w:rsid w:val="00EE67B6"/>
    <w:rsid w:val="00EE6A07"/>
    <w:rsid w:val="00EE7958"/>
    <w:rsid w:val="00EF039F"/>
    <w:rsid w:val="00EF1351"/>
    <w:rsid w:val="00EF20D1"/>
    <w:rsid w:val="00EF2BEB"/>
    <w:rsid w:val="00EF3A10"/>
    <w:rsid w:val="00EF4EF8"/>
    <w:rsid w:val="00EF5CF0"/>
    <w:rsid w:val="00F00166"/>
    <w:rsid w:val="00F0021F"/>
    <w:rsid w:val="00F02E0E"/>
    <w:rsid w:val="00F05693"/>
    <w:rsid w:val="00F066E5"/>
    <w:rsid w:val="00F06B70"/>
    <w:rsid w:val="00F07F53"/>
    <w:rsid w:val="00F103E1"/>
    <w:rsid w:val="00F129E5"/>
    <w:rsid w:val="00F12DBA"/>
    <w:rsid w:val="00F12E59"/>
    <w:rsid w:val="00F13B74"/>
    <w:rsid w:val="00F13CF0"/>
    <w:rsid w:val="00F205C3"/>
    <w:rsid w:val="00F21479"/>
    <w:rsid w:val="00F218BE"/>
    <w:rsid w:val="00F22856"/>
    <w:rsid w:val="00F22A6E"/>
    <w:rsid w:val="00F231AE"/>
    <w:rsid w:val="00F26F3F"/>
    <w:rsid w:val="00F306E6"/>
    <w:rsid w:val="00F3433B"/>
    <w:rsid w:val="00F355ED"/>
    <w:rsid w:val="00F36C11"/>
    <w:rsid w:val="00F37029"/>
    <w:rsid w:val="00F42194"/>
    <w:rsid w:val="00F44C5E"/>
    <w:rsid w:val="00F45A73"/>
    <w:rsid w:val="00F45F27"/>
    <w:rsid w:val="00F46759"/>
    <w:rsid w:val="00F513E8"/>
    <w:rsid w:val="00F51625"/>
    <w:rsid w:val="00F52B7D"/>
    <w:rsid w:val="00F52E57"/>
    <w:rsid w:val="00F57642"/>
    <w:rsid w:val="00F6151E"/>
    <w:rsid w:val="00F63BBF"/>
    <w:rsid w:val="00F64953"/>
    <w:rsid w:val="00F65A67"/>
    <w:rsid w:val="00F66346"/>
    <w:rsid w:val="00F66C09"/>
    <w:rsid w:val="00F67FA8"/>
    <w:rsid w:val="00F706B0"/>
    <w:rsid w:val="00F708AC"/>
    <w:rsid w:val="00F77242"/>
    <w:rsid w:val="00F823FC"/>
    <w:rsid w:val="00F82A8B"/>
    <w:rsid w:val="00F8541E"/>
    <w:rsid w:val="00F859C8"/>
    <w:rsid w:val="00F86737"/>
    <w:rsid w:val="00F9152E"/>
    <w:rsid w:val="00F936E4"/>
    <w:rsid w:val="00F95517"/>
    <w:rsid w:val="00FA152B"/>
    <w:rsid w:val="00FA15E2"/>
    <w:rsid w:val="00FA2590"/>
    <w:rsid w:val="00FA5CF0"/>
    <w:rsid w:val="00FB0703"/>
    <w:rsid w:val="00FB205A"/>
    <w:rsid w:val="00FB40B4"/>
    <w:rsid w:val="00FB420A"/>
    <w:rsid w:val="00FB5B0A"/>
    <w:rsid w:val="00FC0205"/>
    <w:rsid w:val="00FC0B92"/>
    <w:rsid w:val="00FC168A"/>
    <w:rsid w:val="00FC17D9"/>
    <w:rsid w:val="00FC1AE7"/>
    <w:rsid w:val="00FC6221"/>
    <w:rsid w:val="00FC6A0D"/>
    <w:rsid w:val="00FD1301"/>
    <w:rsid w:val="00FD5D43"/>
    <w:rsid w:val="00FD6FE2"/>
    <w:rsid w:val="00FD7434"/>
    <w:rsid w:val="00FE1247"/>
    <w:rsid w:val="00FE13EE"/>
    <w:rsid w:val="00FE24EB"/>
    <w:rsid w:val="00FE37E4"/>
    <w:rsid w:val="00FE4069"/>
    <w:rsid w:val="00FE540E"/>
    <w:rsid w:val="00FE658E"/>
    <w:rsid w:val="00FF3467"/>
    <w:rsid w:val="00FF39B5"/>
    <w:rsid w:val="00FF40BD"/>
    <w:rsid w:val="00FF49F4"/>
    <w:rsid w:val="00FF4FA2"/>
    <w:rsid w:val="00FF5212"/>
    <w:rsid w:val="00FF5362"/>
    <w:rsid w:val="00FF5C53"/>
    <w:rsid w:val="00FF7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4D2B"/>
    <w:rPr>
      <w:b/>
      <w:bCs/>
    </w:rPr>
  </w:style>
  <w:style w:type="paragraph" w:styleId="a4">
    <w:name w:val="Balloon Text"/>
    <w:basedOn w:val="a"/>
    <w:link w:val="a5"/>
    <w:rsid w:val="00D112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12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5331"/>
    <w:pPr>
      <w:ind w:left="720"/>
      <w:contextualSpacing/>
    </w:pPr>
  </w:style>
  <w:style w:type="character" w:styleId="a7">
    <w:name w:val="Hyperlink"/>
    <w:basedOn w:val="a0"/>
    <w:rsid w:val="00133C52"/>
    <w:rPr>
      <w:color w:val="0000FF" w:themeColor="hyperlink"/>
      <w:u w:val="single"/>
    </w:rPr>
  </w:style>
  <w:style w:type="character" w:styleId="a8">
    <w:name w:val="FollowedHyperlink"/>
    <w:basedOn w:val="a0"/>
    <w:rsid w:val="00133C52"/>
    <w:rPr>
      <w:color w:val="800080" w:themeColor="followedHyperlink"/>
      <w:u w:val="single"/>
    </w:rPr>
  </w:style>
  <w:style w:type="character" w:styleId="a9">
    <w:name w:val="annotation reference"/>
    <w:basedOn w:val="a0"/>
    <w:rsid w:val="00AC4D68"/>
    <w:rPr>
      <w:sz w:val="16"/>
      <w:szCs w:val="16"/>
    </w:rPr>
  </w:style>
  <w:style w:type="paragraph" w:styleId="aa">
    <w:name w:val="annotation text"/>
    <w:basedOn w:val="a"/>
    <w:link w:val="ab"/>
    <w:rsid w:val="00AC4D6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AC4D68"/>
  </w:style>
  <w:style w:type="paragraph" w:styleId="ac">
    <w:name w:val="annotation subject"/>
    <w:basedOn w:val="aa"/>
    <w:next w:val="aa"/>
    <w:link w:val="ad"/>
    <w:rsid w:val="00AC4D68"/>
    <w:rPr>
      <w:b/>
      <w:bCs/>
    </w:rPr>
  </w:style>
  <w:style w:type="character" w:customStyle="1" w:styleId="ad">
    <w:name w:val="Тема примечания Знак"/>
    <w:basedOn w:val="ab"/>
    <w:link w:val="ac"/>
    <w:rsid w:val="00AC4D68"/>
    <w:rPr>
      <w:b/>
      <w:bCs/>
    </w:rPr>
  </w:style>
  <w:style w:type="table" w:styleId="ae">
    <w:name w:val="Table Grid"/>
    <w:basedOn w:val="a1"/>
    <w:rsid w:val="00052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rsid w:val="000A0EF9"/>
    <w:pPr>
      <w:tabs>
        <w:tab w:val="center" w:pos="4844"/>
        <w:tab w:val="right" w:pos="9689"/>
      </w:tabs>
    </w:pPr>
  </w:style>
  <w:style w:type="character" w:customStyle="1" w:styleId="af0">
    <w:name w:val="Верхний колонтитул Знак"/>
    <w:basedOn w:val="a0"/>
    <w:link w:val="af"/>
    <w:rsid w:val="000A0EF9"/>
    <w:rPr>
      <w:sz w:val="24"/>
      <w:szCs w:val="24"/>
    </w:rPr>
  </w:style>
  <w:style w:type="paragraph" w:styleId="af1">
    <w:name w:val="footer"/>
    <w:basedOn w:val="a"/>
    <w:link w:val="af2"/>
    <w:uiPriority w:val="99"/>
    <w:rsid w:val="000A0EF9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A0EF9"/>
    <w:rPr>
      <w:sz w:val="24"/>
      <w:szCs w:val="24"/>
    </w:rPr>
  </w:style>
  <w:style w:type="table" w:styleId="1-3">
    <w:name w:val="Medium Shading 1 Accent 3"/>
    <w:basedOn w:val="a1"/>
    <w:uiPriority w:val="63"/>
    <w:rsid w:val="002C297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2C297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0">
    <w:name w:val="Light Shading Accent 3"/>
    <w:basedOn w:val="a1"/>
    <w:uiPriority w:val="60"/>
    <w:rsid w:val="002C297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-30">
    <w:name w:val="Medium Grid 1 Accent 3"/>
    <w:basedOn w:val="a1"/>
    <w:uiPriority w:val="67"/>
    <w:rsid w:val="009120F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">
    <w:name w:val="Medium List 2 Accent 3"/>
    <w:basedOn w:val="a1"/>
    <w:uiPriority w:val="66"/>
    <w:rsid w:val="009120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f3">
    <w:name w:val="footnote text"/>
    <w:basedOn w:val="a"/>
    <w:link w:val="af4"/>
    <w:rsid w:val="006A588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6A5880"/>
  </w:style>
  <w:style w:type="character" w:styleId="af5">
    <w:name w:val="footnote reference"/>
    <w:basedOn w:val="a0"/>
    <w:rsid w:val="006A58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4D2B"/>
    <w:rPr>
      <w:b/>
      <w:bCs/>
    </w:rPr>
  </w:style>
  <w:style w:type="paragraph" w:styleId="a4">
    <w:name w:val="Balloon Text"/>
    <w:basedOn w:val="a"/>
    <w:link w:val="a5"/>
    <w:rsid w:val="00D112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112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5331"/>
    <w:pPr>
      <w:ind w:left="720"/>
      <w:contextualSpacing/>
    </w:pPr>
  </w:style>
  <w:style w:type="character" w:styleId="a7">
    <w:name w:val="Hyperlink"/>
    <w:basedOn w:val="a0"/>
    <w:rsid w:val="00133C52"/>
    <w:rPr>
      <w:color w:val="0000FF" w:themeColor="hyperlink"/>
      <w:u w:val="single"/>
    </w:rPr>
  </w:style>
  <w:style w:type="character" w:styleId="a8">
    <w:name w:val="FollowedHyperlink"/>
    <w:basedOn w:val="a0"/>
    <w:rsid w:val="00133C52"/>
    <w:rPr>
      <w:color w:val="800080" w:themeColor="followedHyperlink"/>
      <w:u w:val="single"/>
    </w:rPr>
  </w:style>
  <w:style w:type="character" w:styleId="a9">
    <w:name w:val="annotation reference"/>
    <w:basedOn w:val="a0"/>
    <w:rsid w:val="00AC4D68"/>
    <w:rPr>
      <w:sz w:val="16"/>
      <w:szCs w:val="16"/>
    </w:rPr>
  </w:style>
  <w:style w:type="paragraph" w:styleId="aa">
    <w:name w:val="annotation text"/>
    <w:basedOn w:val="a"/>
    <w:link w:val="ab"/>
    <w:rsid w:val="00AC4D6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AC4D68"/>
  </w:style>
  <w:style w:type="paragraph" w:styleId="ac">
    <w:name w:val="annotation subject"/>
    <w:basedOn w:val="aa"/>
    <w:next w:val="aa"/>
    <w:link w:val="ad"/>
    <w:rsid w:val="00AC4D68"/>
    <w:rPr>
      <w:b/>
      <w:bCs/>
    </w:rPr>
  </w:style>
  <w:style w:type="character" w:customStyle="1" w:styleId="ad">
    <w:name w:val="Тема примечания Знак"/>
    <w:basedOn w:val="ab"/>
    <w:link w:val="ac"/>
    <w:rsid w:val="00AC4D68"/>
    <w:rPr>
      <w:b/>
      <w:bCs/>
    </w:rPr>
  </w:style>
  <w:style w:type="table" w:styleId="ae">
    <w:name w:val="Table Grid"/>
    <w:basedOn w:val="a1"/>
    <w:rsid w:val="00052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rsid w:val="000A0EF9"/>
    <w:pPr>
      <w:tabs>
        <w:tab w:val="center" w:pos="4844"/>
        <w:tab w:val="right" w:pos="9689"/>
      </w:tabs>
    </w:pPr>
  </w:style>
  <w:style w:type="character" w:customStyle="1" w:styleId="af0">
    <w:name w:val="Верхний колонтитул Знак"/>
    <w:basedOn w:val="a0"/>
    <w:link w:val="af"/>
    <w:rsid w:val="000A0EF9"/>
    <w:rPr>
      <w:sz w:val="24"/>
      <w:szCs w:val="24"/>
    </w:rPr>
  </w:style>
  <w:style w:type="paragraph" w:styleId="af1">
    <w:name w:val="footer"/>
    <w:basedOn w:val="a"/>
    <w:link w:val="af2"/>
    <w:uiPriority w:val="99"/>
    <w:rsid w:val="000A0EF9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A0EF9"/>
    <w:rPr>
      <w:sz w:val="24"/>
      <w:szCs w:val="24"/>
    </w:rPr>
  </w:style>
  <w:style w:type="table" w:styleId="1-3">
    <w:name w:val="Medium Shading 1 Accent 3"/>
    <w:basedOn w:val="a1"/>
    <w:uiPriority w:val="63"/>
    <w:rsid w:val="002C297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2C297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30">
    <w:name w:val="Light Shading Accent 3"/>
    <w:basedOn w:val="a1"/>
    <w:uiPriority w:val="60"/>
    <w:rsid w:val="002C297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-30">
    <w:name w:val="Medium Grid 1 Accent 3"/>
    <w:basedOn w:val="a1"/>
    <w:uiPriority w:val="67"/>
    <w:rsid w:val="009120F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-3">
    <w:name w:val="Medium List 2 Accent 3"/>
    <w:basedOn w:val="a1"/>
    <w:uiPriority w:val="66"/>
    <w:rsid w:val="009120F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f3">
    <w:name w:val="footnote text"/>
    <w:basedOn w:val="a"/>
    <w:link w:val="af4"/>
    <w:rsid w:val="006A588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6A5880"/>
  </w:style>
  <w:style w:type="character" w:styleId="af5">
    <w:name w:val="footnote reference"/>
    <w:basedOn w:val="a0"/>
    <w:rsid w:val="006A58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700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4406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4578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636">
          <w:marLeft w:val="51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0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7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1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8087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76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6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499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246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95738">
              <w:marLeft w:val="75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0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93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38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966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103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247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819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5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399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1149">
          <w:marLeft w:val="57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1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50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1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6389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1263">
          <w:marLeft w:val="518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9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25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3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7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064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4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290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0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8782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02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7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A2239-609F-4B3A-B786-81350387D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10953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soboleva-en</dc:creator>
  <cp:lastModifiedBy>Шевцова Мария Викторовна</cp:lastModifiedBy>
  <cp:revision>2</cp:revision>
  <cp:lastPrinted>2016-03-15T06:35:00Z</cp:lastPrinted>
  <dcterms:created xsi:type="dcterms:W3CDTF">2016-03-15T06:47:00Z</dcterms:created>
  <dcterms:modified xsi:type="dcterms:W3CDTF">2016-03-15T06:47:00Z</dcterms:modified>
</cp:coreProperties>
</file>