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29" w:rsidRPr="003E5A54" w:rsidRDefault="003E5A54" w:rsidP="00911F75">
      <w:pPr>
        <w:shd w:val="clear" w:color="auto" w:fill="FFFFFF"/>
        <w:spacing w:line="276" w:lineRule="auto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  <w:r>
        <w:rPr>
          <w:rFonts w:ascii="Tahoma" w:hAnsi="Tahoma" w:cs="Tahoma"/>
          <w:b/>
          <w:bCs/>
          <w:color w:val="666666"/>
          <w:sz w:val="20"/>
          <w:szCs w:val="20"/>
        </w:rPr>
        <w:t>Сбербанк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показал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чистую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прибыль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b/>
          <w:bCs/>
          <w:color w:val="666666"/>
          <w:sz w:val="20"/>
          <w:szCs w:val="20"/>
        </w:rPr>
        <w:t xml:space="preserve">за 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>201</w:t>
      </w:r>
      <w:r w:rsidR="005A2E42" w:rsidRPr="005A2E42">
        <w:rPr>
          <w:rFonts w:ascii="Tahoma" w:hAnsi="Tahoma" w:cs="Tahoma"/>
          <w:b/>
          <w:bCs/>
          <w:color w:val="666666"/>
          <w:sz w:val="20"/>
          <w:szCs w:val="20"/>
        </w:rPr>
        <w:t>7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9152BC">
        <w:rPr>
          <w:rFonts w:ascii="Tahoma" w:hAnsi="Tahoma" w:cs="Tahoma"/>
          <w:b/>
          <w:bCs/>
          <w:color w:val="666666"/>
          <w:sz w:val="20"/>
          <w:szCs w:val="20"/>
        </w:rPr>
        <w:t>год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в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размере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5A2E42">
        <w:rPr>
          <w:rFonts w:ascii="Tahoma" w:hAnsi="Tahoma" w:cs="Tahoma"/>
          <w:b/>
          <w:bCs/>
          <w:color w:val="666666"/>
          <w:sz w:val="20"/>
          <w:szCs w:val="20"/>
        </w:rPr>
        <w:t>748,7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млрд</w:t>
      </w:r>
      <w:r w:rsidR="007812CF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руб</w:t>
      </w:r>
      <w:r w:rsidR="007812CF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FA2590">
        <w:rPr>
          <w:rFonts w:ascii="Tahoma" w:hAnsi="Tahoma" w:cs="Tahoma"/>
          <w:b/>
          <w:bCs/>
          <w:color w:val="666666"/>
          <w:sz w:val="20"/>
          <w:szCs w:val="20"/>
        </w:rPr>
        <w:t xml:space="preserve">или </w:t>
      </w:r>
      <w:r w:rsidR="005A2E42">
        <w:rPr>
          <w:rFonts w:ascii="Tahoma" w:hAnsi="Tahoma" w:cs="Tahoma"/>
          <w:b/>
          <w:bCs/>
          <w:color w:val="666666"/>
          <w:sz w:val="20"/>
          <w:szCs w:val="20"/>
        </w:rPr>
        <w:t>3</w:t>
      </w:r>
      <w:r w:rsidR="00CC4C77">
        <w:rPr>
          <w:rFonts w:ascii="Tahoma" w:hAnsi="Tahoma" w:cs="Tahoma"/>
          <w:b/>
          <w:bCs/>
          <w:color w:val="666666"/>
          <w:sz w:val="20"/>
          <w:szCs w:val="20"/>
        </w:rPr>
        <w:t>4</w:t>
      </w:r>
      <w:r w:rsidR="005A2E42">
        <w:rPr>
          <w:rFonts w:ascii="Tahoma" w:hAnsi="Tahoma" w:cs="Tahoma"/>
          <w:b/>
          <w:bCs/>
          <w:color w:val="666666"/>
          <w:sz w:val="20"/>
          <w:szCs w:val="20"/>
        </w:rPr>
        <w:t>,58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руб</w:t>
      </w:r>
      <w:r w:rsidR="009152BC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на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обыкновенную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акцию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в соответствии с международными стандарта</w:t>
      </w:r>
      <w:r w:rsidR="00D8046B">
        <w:rPr>
          <w:rFonts w:ascii="Tahoma" w:hAnsi="Tahoma" w:cs="Tahoma"/>
          <w:b/>
          <w:bCs/>
          <w:color w:val="666666"/>
          <w:sz w:val="20"/>
          <w:szCs w:val="20"/>
        </w:rPr>
        <w:t>ми финансовой отчетности (МСФО)</w:t>
      </w:r>
    </w:p>
    <w:p w:rsidR="00AE77D4" w:rsidRPr="003E5A54" w:rsidRDefault="00AE77D4" w:rsidP="00345061">
      <w:pPr>
        <w:shd w:val="clear" w:color="auto" w:fill="FFFFFF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</w:p>
    <w:p w:rsidR="002A2770" w:rsidRPr="00FA2590" w:rsidRDefault="005A2E42" w:rsidP="00345061">
      <w:pPr>
        <w:shd w:val="clear" w:color="auto" w:fill="FFFFFF"/>
        <w:jc w:val="right"/>
        <w:outlineLvl w:val="3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28 февраля </w:t>
      </w:r>
      <w:r w:rsidR="004A3429">
        <w:rPr>
          <w:rFonts w:ascii="Tahoma" w:hAnsi="Tahoma" w:cs="Tahoma"/>
          <w:color w:val="666666"/>
          <w:sz w:val="20"/>
          <w:szCs w:val="20"/>
        </w:rPr>
        <w:t>201</w:t>
      </w:r>
      <w:r>
        <w:rPr>
          <w:rFonts w:ascii="Tahoma" w:hAnsi="Tahoma" w:cs="Tahoma"/>
          <w:color w:val="666666"/>
          <w:sz w:val="20"/>
          <w:szCs w:val="20"/>
        </w:rPr>
        <w:t>8</w:t>
      </w:r>
      <w:r w:rsidR="00232445">
        <w:rPr>
          <w:rFonts w:ascii="Tahoma" w:hAnsi="Tahoma" w:cs="Tahoma"/>
          <w:color w:val="666666"/>
          <w:sz w:val="20"/>
          <w:szCs w:val="20"/>
        </w:rPr>
        <w:t>, Москва</w:t>
      </w:r>
    </w:p>
    <w:p w:rsidR="00E24719" w:rsidRPr="00FA2590" w:rsidRDefault="00E24719" w:rsidP="00C56A9C">
      <w:pPr>
        <w:shd w:val="clear" w:color="auto" w:fill="FFFFFF"/>
        <w:spacing w:line="276" w:lineRule="auto"/>
        <w:jc w:val="right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</w:p>
    <w:p w:rsidR="004C70ED" w:rsidRDefault="00D8046B" w:rsidP="00345061">
      <w:pPr>
        <w:shd w:val="clear" w:color="auto" w:fill="FFFFFF"/>
        <w:spacing w:after="20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Сбербанк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Группа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>
        <w:rPr>
          <w:rFonts w:ascii="Tahoma" w:hAnsi="Tahoma" w:cs="Tahoma"/>
          <w:color w:val="666666"/>
          <w:sz w:val="20"/>
          <w:szCs w:val="20"/>
        </w:rPr>
        <w:t>опубликовал</w:t>
      </w:r>
      <w:r w:rsidR="009152B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152BC" w:rsidRPr="009152BC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годовую</w:t>
      </w:r>
      <w:r w:rsidRPr="009152BC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 </w:t>
      </w:r>
      <w:r w:rsidR="0098634C" w:rsidRPr="00CE20CD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консолидированную </w:t>
      </w:r>
      <w:r w:rsidR="003B6BFE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финансовую</w:t>
      </w:r>
      <w:r w:rsidR="00E90439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 </w:t>
      </w:r>
      <w:r w:rsidRPr="00CE20CD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в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соответствии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международными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стандартами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финансовой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отчетности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МСФО</w:t>
      </w:r>
      <w:r w:rsidRPr="00CE20CD">
        <w:rPr>
          <w:rFonts w:ascii="Tahoma" w:hAnsi="Tahoma" w:cs="Tahoma"/>
          <w:color w:val="666666"/>
          <w:sz w:val="20"/>
          <w:szCs w:val="20"/>
        </w:rPr>
        <w:t>)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за </w:t>
      </w:r>
      <w:r w:rsidR="004A3429">
        <w:rPr>
          <w:rFonts w:ascii="Tahoma" w:hAnsi="Tahoma" w:cs="Tahoma"/>
          <w:color w:val="666666"/>
          <w:sz w:val="20"/>
          <w:szCs w:val="20"/>
        </w:rPr>
        <w:t>12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 месяцев </w:t>
      </w:r>
      <w:r w:rsidR="0098634C">
        <w:rPr>
          <w:rFonts w:ascii="Tahoma" w:hAnsi="Tahoma" w:cs="Tahoma"/>
          <w:color w:val="666666"/>
          <w:sz w:val="20"/>
          <w:szCs w:val="20"/>
        </w:rPr>
        <w:t>201</w:t>
      </w:r>
      <w:r w:rsidR="005A2E42">
        <w:rPr>
          <w:rFonts w:ascii="Tahoma" w:hAnsi="Tahoma" w:cs="Tahoma"/>
          <w:color w:val="666666"/>
          <w:sz w:val="20"/>
          <w:szCs w:val="20"/>
        </w:rPr>
        <w:t>7</w:t>
      </w:r>
      <w:r w:rsidR="0098634C">
        <w:rPr>
          <w:rFonts w:ascii="Tahoma" w:hAnsi="Tahoma" w:cs="Tahoma"/>
          <w:color w:val="666666"/>
          <w:sz w:val="20"/>
          <w:szCs w:val="20"/>
        </w:rPr>
        <w:t xml:space="preserve"> года 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и </w:t>
      </w:r>
      <w:r>
        <w:rPr>
          <w:rFonts w:ascii="Tahoma" w:hAnsi="Tahoma" w:cs="Tahoma"/>
          <w:color w:val="666666"/>
          <w:sz w:val="20"/>
          <w:szCs w:val="20"/>
        </w:rPr>
        <w:t>по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состоянию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color w:val="666666"/>
          <w:sz w:val="20"/>
          <w:szCs w:val="20"/>
        </w:rPr>
        <w:t>31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color w:val="666666"/>
          <w:sz w:val="20"/>
          <w:szCs w:val="20"/>
        </w:rPr>
        <w:t>декабря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201</w:t>
      </w:r>
      <w:r w:rsidR="003B6BFE">
        <w:rPr>
          <w:rFonts w:ascii="Tahoma" w:hAnsi="Tahoma" w:cs="Tahoma"/>
          <w:color w:val="666666"/>
          <w:sz w:val="20"/>
          <w:szCs w:val="20"/>
        </w:rPr>
        <w:t>7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года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содержащую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C4C77">
        <w:rPr>
          <w:rFonts w:ascii="Tahoma" w:hAnsi="Tahoma" w:cs="Tahoma"/>
          <w:color w:val="666666"/>
          <w:sz w:val="20"/>
          <w:szCs w:val="20"/>
        </w:rPr>
        <w:t>аудиторское заключение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АО «ПрайсвотерхаусКуперс Аудит» </w:t>
      </w:r>
      <w:r w:rsidR="00CE20CD">
        <w:rPr>
          <w:rFonts w:ascii="Tahoma" w:hAnsi="Tahoma" w:cs="Tahoma"/>
          <w:color w:val="666666"/>
          <w:sz w:val="20"/>
          <w:szCs w:val="20"/>
        </w:rPr>
        <w:t xml:space="preserve">о результатах </w:t>
      </w:r>
      <w:r w:rsidR="00E90439">
        <w:rPr>
          <w:rFonts w:ascii="Tahoma" w:hAnsi="Tahoma" w:cs="Tahoma"/>
          <w:color w:val="666666"/>
          <w:sz w:val="20"/>
          <w:szCs w:val="20"/>
        </w:rPr>
        <w:t>независимой аудиторской проверки</w:t>
      </w:r>
      <w:r w:rsidR="003B6BFE">
        <w:rPr>
          <w:rFonts w:ascii="Tahoma" w:hAnsi="Tahoma" w:cs="Tahoma"/>
          <w:color w:val="666666"/>
          <w:sz w:val="20"/>
          <w:szCs w:val="20"/>
        </w:rPr>
        <w:t>.</w:t>
      </w:r>
      <w:r w:rsidR="00CE20CD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347B40" w:rsidRPr="00347B40" w:rsidRDefault="00347B40" w:rsidP="00484FC2">
      <w:pPr>
        <w:shd w:val="clear" w:color="auto" w:fill="FFFFFF"/>
        <w:spacing w:before="360" w:after="20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Ключевые 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 xml:space="preserve">финансовые </w:t>
      </w:r>
      <w:r w:rsidR="00BE0BBD">
        <w:rPr>
          <w:rStyle w:val="a3"/>
          <w:rFonts w:ascii="Tahoma" w:hAnsi="Tahoma" w:cs="Tahoma"/>
          <w:color w:val="666666"/>
          <w:sz w:val="20"/>
          <w:szCs w:val="20"/>
        </w:rPr>
        <w:t>показатели</w:t>
      </w:r>
      <w:r w:rsidR="00DA585C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>Группы Сбербанк за 201</w:t>
      </w:r>
      <w:r w:rsidR="005A2E42">
        <w:rPr>
          <w:rStyle w:val="a3"/>
          <w:rFonts w:ascii="Tahoma" w:hAnsi="Tahoma" w:cs="Tahoma"/>
          <w:color w:val="666666"/>
          <w:sz w:val="20"/>
          <w:szCs w:val="20"/>
        </w:rPr>
        <w:t>7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 xml:space="preserve"> год</w:t>
      </w:r>
      <w:r w:rsidR="00AA0AA9" w:rsidRPr="00DA585C">
        <w:rPr>
          <w:rStyle w:val="a3"/>
          <w:rFonts w:ascii="Tahoma" w:hAnsi="Tahoma" w:cs="Tahoma"/>
          <w:color w:val="666666"/>
          <w:sz w:val="20"/>
          <w:szCs w:val="20"/>
        </w:rPr>
        <w:t>:</w:t>
      </w:r>
    </w:p>
    <w:p w:rsidR="00FA2590" w:rsidRPr="00960AC2" w:rsidRDefault="00347B40" w:rsidP="005629CF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b/>
          <w:color w:val="666666"/>
          <w:sz w:val="20"/>
          <w:szCs w:val="20"/>
        </w:rPr>
        <w:t xml:space="preserve">Чистая </w:t>
      </w:r>
      <w:r w:rsidR="00742711" w:rsidRPr="00B25D7E">
        <w:rPr>
          <w:rFonts w:ascii="Tahoma" w:hAnsi="Tahoma" w:cs="Tahoma"/>
          <w:b/>
          <w:color w:val="666666"/>
          <w:sz w:val="20"/>
          <w:szCs w:val="20"/>
        </w:rPr>
        <w:t>пр</w:t>
      </w:r>
      <w:r w:rsidR="00FA2590" w:rsidRPr="00B25D7E">
        <w:rPr>
          <w:rFonts w:ascii="Tahoma" w:hAnsi="Tahoma" w:cs="Tahoma"/>
          <w:b/>
          <w:color w:val="666666"/>
          <w:sz w:val="20"/>
          <w:szCs w:val="20"/>
        </w:rPr>
        <w:t>ибыль</w:t>
      </w:r>
      <w:r w:rsidR="00FA2590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B25D7E">
        <w:rPr>
          <w:rFonts w:ascii="Tahoma" w:hAnsi="Tahoma" w:cs="Tahoma"/>
          <w:color w:val="666666"/>
          <w:sz w:val="20"/>
          <w:szCs w:val="20"/>
        </w:rPr>
        <w:t>составила</w:t>
      </w:r>
      <w:r w:rsidR="00FA2590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A2E42">
        <w:rPr>
          <w:rFonts w:ascii="Tahoma" w:hAnsi="Tahoma" w:cs="Tahoma"/>
          <w:color w:val="666666"/>
          <w:sz w:val="20"/>
          <w:szCs w:val="20"/>
        </w:rPr>
        <w:t>748</w:t>
      </w:r>
      <w:r w:rsidR="009113B6" w:rsidRPr="004B7586">
        <w:rPr>
          <w:rFonts w:ascii="Tahoma" w:hAnsi="Tahoma" w:cs="Tahoma"/>
          <w:color w:val="666666"/>
          <w:sz w:val="20"/>
          <w:szCs w:val="20"/>
        </w:rPr>
        <w:t>,</w:t>
      </w:r>
      <w:r w:rsidR="005A2E42">
        <w:rPr>
          <w:rFonts w:ascii="Tahoma" w:hAnsi="Tahoma" w:cs="Tahoma"/>
          <w:color w:val="666666"/>
          <w:sz w:val="20"/>
          <w:szCs w:val="20"/>
        </w:rPr>
        <w:t>7</w:t>
      </w:r>
      <w:r w:rsidR="00FA2590" w:rsidRPr="004B7586">
        <w:rPr>
          <w:rFonts w:ascii="Tahoma" w:hAnsi="Tahoma" w:cs="Tahoma"/>
          <w:color w:val="666666"/>
          <w:sz w:val="20"/>
          <w:szCs w:val="20"/>
        </w:rPr>
        <w:t xml:space="preserve"> млрд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FA2590" w:rsidRPr="004B7586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5A2E42">
        <w:rPr>
          <w:rFonts w:ascii="Tahoma" w:hAnsi="Tahoma" w:cs="Tahoma"/>
          <w:color w:val="666666"/>
          <w:sz w:val="20"/>
          <w:szCs w:val="20"/>
        </w:rPr>
        <w:t>,</w:t>
      </w:r>
      <w:r w:rsidR="005A2E42" w:rsidRPr="005A2E42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A2E42" w:rsidRPr="00960AC2">
        <w:rPr>
          <w:rFonts w:ascii="Tahoma" w:hAnsi="Tahoma" w:cs="Tahoma"/>
          <w:color w:val="666666"/>
          <w:sz w:val="20"/>
          <w:szCs w:val="20"/>
        </w:rPr>
        <w:t>увеличившись на</w:t>
      </w:r>
      <w:r w:rsidR="005A2E42">
        <w:rPr>
          <w:rFonts w:ascii="Tahoma" w:hAnsi="Tahoma" w:cs="Tahoma"/>
          <w:color w:val="666666"/>
          <w:sz w:val="20"/>
          <w:szCs w:val="20"/>
        </w:rPr>
        <w:t xml:space="preserve"> 38,2% </w:t>
      </w:r>
      <w:r w:rsidR="005064A8">
        <w:rPr>
          <w:rFonts w:ascii="Tahoma" w:hAnsi="Tahoma" w:cs="Tahoma"/>
          <w:color w:val="666666"/>
          <w:sz w:val="20"/>
          <w:szCs w:val="20"/>
        </w:rPr>
        <w:t xml:space="preserve">по </w:t>
      </w:r>
      <w:r w:rsidR="005A2E42">
        <w:rPr>
          <w:rFonts w:ascii="Tahoma" w:hAnsi="Tahoma" w:cs="Tahoma"/>
          <w:color w:val="666666"/>
          <w:sz w:val="20"/>
          <w:szCs w:val="20"/>
        </w:rPr>
        <w:t>сравнению с 2016 годом</w:t>
      </w:r>
      <w:r w:rsidR="004B7586">
        <w:rPr>
          <w:rFonts w:ascii="Tahoma" w:hAnsi="Tahoma" w:cs="Tahoma"/>
          <w:color w:val="666666"/>
          <w:sz w:val="20"/>
          <w:szCs w:val="20"/>
        </w:rPr>
        <w:t>;</w:t>
      </w:r>
    </w:p>
    <w:p w:rsidR="00960AC2" w:rsidRDefault="00960AC2" w:rsidP="005629CF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Прибыль на обыкновенную акцию </w:t>
      </w:r>
      <w:r w:rsidR="00057843">
        <w:rPr>
          <w:rFonts w:ascii="Tahoma" w:hAnsi="Tahoma" w:cs="Tahoma"/>
          <w:color w:val="666666"/>
          <w:sz w:val="20"/>
          <w:szCs w:val="20"/>
        </w:rPr>
        <w:t xml:space="preserve">составила </w:t>
      </w:r>
      <w:r w:rsidR="005A2E42">
        <w:rPr>
          <w:rFonts w:ascii="Tahoma" w:hAnsi="Tahoma" w:cs="Tahoma"/>
          <w:color w:val="666666"/>
          <w:sz w:val="20"/>
          <w:szCs w:val="20"/>
        </w:rPr>
        <w:t>34</w:t>
      </w:r>
      <w:r w:rsidR="00057843">
        <w:rPr>
          <w:rFonts w:ascii="Tahoma" w:hAnsi="Tahoma" w:cs="Tahoma"/>
          <w:color w:val="666666"/>
          <w:sz w:val="20"/>
          <w:szCs w:val="20"/>
        </w:rPr>
        <w:t>,</w:t>
      </w:r>
      <w:r w:rsidR="005A2E42">
        <w:rPr>
          <w:rFonts w:ascii="Tahoma" w:hAnsi="Tahoma" w:cs="Tahoma"/>
          <w:color w:val="666666"/>
          <w:sz w:val="20"/>
          <w:szCs w:val="20"/>
        </w:rPr>
        <w:t>58</w:t>
      </w:r>
      <w:r w:rsidRPr="00960AC2">
        <w:rPr>
          <w:rFonts w:ascii="Tahoma" w:hAnsi="Tahoma" w:cs="Tahoma"/>
          <w:color w:val="666666"/>
          <w:sz w:val="20"/>
          <w:szCs w:val="20"/>
        </w:rPr>
        <w:t xml:space="preserve"> руб., </w:t>
      </w:r>
      <w:r w:rsidR="005A2E42">
        <w:rPr>
          <w:rFonts w:ascii="Tahoma" w:hAnsi="Tahoma" w:cs="Tahoma"/>
          <w:color w:val="666666"/>
          <w:sz w:val="20"/>
          <w:szCs w:val="20"/>
        </w:rPr>
        <w:t xml:space="preserve">показав рост на 38,3% </w:t>
      </w:r>
      <w:r>
        <w:rPr>
          <w:rFonts w:ascii="Tahoma" w:hAnsi="Tahoma" w:cs="Tahoma"/>
          <w:color w:val="666666"/>
          <w:sz w:val="20"/>
          <w:szCs w:val="20"/>
        </w:rPr>
        <w:t xml:space="preserve"> по сравнению с 201</w:t>
      </w:r>
      <w:r w:rsidR="005A2E42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годом;</w:t>
      </w:r>
    </w:p>
    <w:p w:rsidR="004A3429" w:rsidRDefault="004A3429" w:rsidP="005629CF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Рентабельность капитала </w:t>
      </w:r>
      <w:r w:rsidR="00C16E54">
        <w:rPr>
          <w:rFonts w:ascii="Tahoma" w:hAnsi="Tahoma" w:cs="Tahoma"/>
          <w:color w:val="666666"/>
          <w:sz w:val="20"/>
          <w:szCs w:val="20"/>
        </w:rPr>
        <w:t xml:space="preserve">достигла </w:t>
      </w:r>
      <w:r w:rsidR="009113B6">
        <w:rPr>
          <w:rFonts w:ascii="Tahoma" w:hAnsi="Tahoma" w:cs="Tahoma"/>
          <w:color w:val="666666"/>
          <w:sz w:val="20"/>
          <w:szCs w:val="20"/>
        </w:rPr>
        <w:t>2</w:t>
      </w:r>
      <w:r w:rsidR="005A2E42">
        <w:rPr>
          <w:rFonts w:ascii="Tahoma" w:hAnsi="Tahoma" w:cs="Tahoma"/>
          <w:color w:val="666666"/>
          <w:sz w:val="20"/>
          <w:szCs w:val="20"/>
        </w:rPr>
        <w:t>4</w:t>
      </w:r>
      <w:r w:rsidR="009113B6">
        <w:rPr>
          <w:rFonts w:ascii="Tahoma" w:hAnsi="Tahoma" w:cs="Tahoma"/>
          <w:color w:val="666666"/>
          <w:sz w:val="20"/>
          <w:szCs w:val="20"/>
        </w:rPr>
        <w:t>,</w:t>
      </w:r>
      <w:r w:rsidR="005A2E42">
        <w:rPr>
          <w:rFonts w:ascii="Tahoma" w:hAnsi="Tahoma" w:cs="Tahoma"/>
          <w:color w:val="666666"/>
          <w:sz w:val="20"/>
          <w:szCs w:val="20"/>
        </w:rPr>
        <w:t>2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%, по сравнению с </w:t>
      </w:r>
      <w:r w:rsidR="005A2E42">
        <w:rPr>
          <w:rFonts w:ascii="Tahoma" w:hAnsi="Tahoma" w:cs="Tahoma"/>
          <w:color w:val="666666"/>
          <w:sz w:val="20"/>
          <w:szCs w:val="20"/>
        </w:rPr>
        <w:t>20,8</w:t>
      </w:r>
      <w:r>
        <w:rPr>
          <w:rFonts w:ascii="Tahoma" w:hAnsi="Tahoma" w:cs="Tahoma"/>
          <w:color w:val="666666"/>
          <w:sz w:val="20"/>
          <w:szCs w:val="20"/>
        </w:rPr>
        <w:t>%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 год</w:t>
      </w:r>
      <w:r w:rsidR="004D21C9">
        <w:rPr>
          <w:rFonts w:ascii="Tahoma" w:hAnsi="Tahoma" w:cs="Tahoma"/>
          <w:color w:val="666666"/>
          <w:sz w:val="20"/>
          <w:szCs w:val="20"/>
        </w:rPr>
        <w:t>ом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D21C9">
        <w:rPr>
          <w:rFonts w:ascii="Tahoma" w:hAnsi="Tahoma" w:cs="Tahoma"/>
          <w:color w:val="666666"/>
          <w:sz w:val="20"/>
          <w:szCs w:val="20"/>
        </w:rPr>
        <w:t>ранее</w:t>
      </w:r>
      <w:r w:rsidR="004B7586">
        <w:rPr>
          <w:rFonts w:ascii="Tahoma" w:hAnsi="Tahoma" w:cs="Tahoma"/>
          <w:color w:val="666666"/>
          <w:sz w:val="20"/>
          <w:szCs w:val="20"/>
        </w:rPr>
        <w:t>;</w:t>
      </w:r>
    </w:p>
    <w:p w:rsidR="005A2E42" w:rsidRDefault="005A2E42" w:rsidP="005629CF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54403E">
        <w:rPr>
          <w:rFonts w:ascii="Tahoma" w:hAnsi="Tahoma" w:cs="Tahoma"/>
          <w:b/>
          <w:color w:val="666666"/>
          <w:sz w:val="20"/>
          <w:szCs w:val="20"/>
        </w:rPr>
        <w:t xml:space="preserve">Рентабельность 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активов </w:t>
      </w:r>
      <w:r w:rsidRPr="00D35AC7">
        <w:rPr>
          <w:rFonts w:ascii="Tahoma" w:hAnsi="Tahoma" w:cs="Tahoma"/>
          <w:color w:val="666666"/>
          <w:sz w:val="20"/>
          <w:szCs w:val="20"/>
        </w:rPr>
        <w:t>достигла</w:t>
      </w:r>
      <w:r>
        <w:rPr>
          <w:rFonts w:ascii="Tahoma" w:hAnsi="Tahoma" w:cs="Tahoma"/>
          <w:color w:val="666666"/>
          <w:sz w:val="20"/>
          <w:szCs w:val="20"/>
        </w:rPr>
        <w:t xml:space="preserve"> 2,9</w:t>
      </w:r>
      <w:r w:rsidRPr="00B8327F">
        <w:rPr>
          <w:rFonts w:ascii="Tahoma" w:hAnsi="Tahoma" w:cs="Tahoma"/>
          <w:color w:val="666666"/>
          <w:sz w:val="20"/>
          <w:szCs w:val="20"/>
        </w:rPr>
        <w:t xml:space="preserve">%, </w:t>
      </w:r>
      <w:r>
        <w:rPr>
          <w:rFonts w:ascii="Tahoma" w:hAnsi="Tahoma" w:cs="Tahoma"/>
          <w:color w:val="666666"/>
          <w:sz w:val="20"/>
          <w:szCs w:val="20"/>
        </w:rPr>
        <w:t>по сравнению с 2,1</w:t>
      </w:r>
      <w:r w:rsidRPr="00B8327F">
        <w:rPr>
          <w:rFonts w:ascii="Tahoma" w:hAnsi="Tahoma" w:cs="Tahoma"/>
          <w:color w:val="666666"/>
          <w:sz w:val="20"/>
          <w:szCs w:val="20"/>
        </w:rPr>
        <w:t>%</w:t>
      </w:r>
      <w:r>
        <w:rPr>
          <w:rFonts w:ascii="Tahoma" w:hAnsi="Tahoma" w:cs="Tahoma"/>
          <w:color w:val="666666"/>
          <w:sz w:val="20"/>
          <w:szCs w:val="20"/>
        </w:rPr>
        <w:t xml:space="preserve"> год</w:t>
      </w:r>
      <w:r w:rsidR="005064A8">
        <w:rPr>
          <w:rFonts w:ascii="Tahoma" w:hAnsi="Tahoma" w:cs="Tahoma"/>
          <w:color w:val="666666"/>
          <w:sz w:val="20"/>
          <w:szCs w:val="20"/>
        </w:rPr>
        <w:t>ом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4D21C9">
        <w:rPr>
          <w:rFonts w:ascii="Tahoma" w:hAnsi="Tahoma" w:cs="Tahoma"/>
          <w:color w:val="666666"/>
          <w:sz w:val="20"/>
          <w:szCs w:val="20"/>
        </w:rPr>
        <w:t>ранее</w:t>
      </w:r>
      <w:r>
        <w:rPr>
          <w:rFonts w:ascii="Tahoma" w:hAnsi="Tahoma" w:cs="Tahoma"/>
          <w:color w:val="666666"/>
          <w:sz w:val="20"/>
          <w:szCs w:val="20"/>
        </w:rPr>
        <w:t>;</w:t>
      </w:r>
    </w:p>
    <w:p w:rsidR="005629CF" w:rsidRDefault="005629CF" w:rsidP="005629CF">
      <w:pPr>
        <w:numPr>
          <w:ilvl w:val="0"/>
          <w:numId w:val="13"/>
        </w:numPr>
        <w:shd w:val="clear" w:color="auto" w:fill="FFFFFF"/>
        <w:spacing w:before="100" w:beforeAutospacing="1"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Чистые комиссионные доходы</w:t>
      </w:r>
      <w:r w:rsidRPr="004F33ED">
        <w:rPr>
          <w:rFonts w:ascii="Tahoma" w:hAnsi="Tahoma" w:cs="Tahoma"/>
          <w:color w:val="666666"/>
          <w:sz w:val="20"/>
          <w:szCs w:val="20"/>
        </w:rPr>
        <w:t xml:space="preserve"> увеличились на </w:t>
      </w:r>
      <w:r>
        <w:rPr>
          <w:rFonts w:ascii="Tahoma" w:hAnsi="Tahoma" w:cs="Tahoma"/>
          <w:color w:val="666666"/>
          <w:sz w:val="20"/>
          <w:szCs w:val="20"/>
        </w:rPr>
        <w:t>12,9% г/г до 394,2 млрд.руб., в основном за счет операций с банковскими картам</w:t>
      </w:r>
      <w:r w:rsidR="008B0CD4">
        <w:rPr>
          <w:rFonts w:ascii="Tahoma" w:hAnsi="Tahoma" w:cs="Tahoma"/>
          <w:color w:val="666666"/>
          <w:sz w:val="20"/>
          <w:szCs w:val="20"/>
        </w:rPr>
        <w:t>и;</w:t>
      </w:r>
    </w:p>
    <w:p w:rsidR="005629CF" w:rsidRDefault="005A2E42" w:rsidP="005629CF">
      <w:pPr>
        <w:numPr>
          <w:ilvl w:val="0"/>
          <w:numId w:val="13"/>
        </w:numPr>
        <w:shd w:val="clear" w:color="auto" w:fill="FFFFFF"/>
        <w:spacing w:before="120" w:after="12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5629CF">
        <w:rPr>
          <w:rFonts w:ascii="Tahoma" w:hAnsi="Tahoma" w:cs="Tahoma"/>
          <w:b/>
          <w:color w:val="666666"/>
          <w:sz w:val="20"/>
          <w:szCs w:val="20"/>
        </w:rPr>
        <w:t>Кредитный портфель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 Группы </w:t>
      </w:r>
      <w:r w:rsidRPr="005629CF">
        <w:rPr>
          <w:rStyle w:val="a3"/>
          <w:rFonts w:ascii="Tahoma" w:hAnsi="Tahoma" w:cs="Tahoma"/>
          <w:color w:val="666666"/>
          <w:sz w:val="20"/>
          <w:szCs w:val="20"/>
        </w:rPr>
        <w:t xml:space="preserve">до вычета резерва под обесценение </w:t>
      </w:r>
      <w:r w:rsidRPr="005629CF">
        <w:rPr>
          <w:rStyle w:val="a3"/>
          <w:rFonts w:ascii="Tahoma" w:hAnsi="Tahoma" w:cs="Tahoma"/>
          <w:b w:val="0"/>
          <w:color w:val="666666"/>
          <w:sz w:val="20"/>
          <w:szCs w:val="20"/>
        </w:rPr>
        <w:t>вырос на 6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,6% 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в 2017 году до 19,9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 трлн. руб., включая рост кредитов физическим лицам – на 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13,6</w:t>
      </w:r>
      <w:r w:rsidRPr="005629CF">
        <w:rPr>
          <w:rFonts w:ascii="Tahoma" w:hAnsi="Tahoma" w:cs="Tahoma"/>
          <w:color w:val="666666"/>
          <w:sz w:val="20"/>
          <w:szCs w:val="20"/>
        </w:rPr>
        <w:t>% до 5,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7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 трлн. руб, 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 xml:space="preserve">в основном за счет </w:t>
      </w:r>
      <w:r w:rsidRPr="005629CF">
        <w:rPr>
          <w:rFonts w:ascii="Tahoma" w:hAnsi="Tahoma" w:cs="Tahoma"/>
          <w:color w:val="666666"/>
          <w:sz w:val="20"/>
          <w:szCs w:val="20"/>
        </w:rPr>
        <w:t>рост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а ипотечного портфеля на 16</w:t>
      </w:r>
      <w:r w:rsidRPr="005629CF">
        <w:rPr>
          <w:rFonts w:ascii="Tahoma" w:hAnsi="Tahoma" w:cs="Tahoma"/>
          <w:color w:val="666666"/>
          <w:sz w:val="20"/>
          <w:szCs w:val="20"/>
        </w:rPr>
        <w:t>,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0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% за </w:t>
      </w:r>
      <w:r w:rsidR="00195691" w:rsidRPr="005629CF">
        <w:rPr>
          <w:rFonts w:ascii="Tahoma" w:hAnsi="Tahoma" w:cs="Tahoma"/>
          <w:color w:val="666666"/>
          <w:sz w:val="20"/>
          <w:szCs w:val="20"/>
        </w:rPr>
        <w:t>год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; </w:t>
      </w:r>
    </w:p>
    <w:p w:rsidR="005629CF" w:rsidRPr="005629CF" w:rsidRDefault="00195691" w:rsidP="005629CF">
      <w:pPr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5629CF">
        <w:rPr>
          <w:rFonts w:ascii="Tahoma" w:hAnsi="Tahoma" w:cs="Tahoma"/>
          <w:b/>
          <w:color w:val="666666"/>
          <w:sz w:val="20"/>
          <w:szCs w:val="20"/>
        </w:rPr>
        <w:t xml:space="preserve">Коэффициент достаточности </w:t>
      </w:r>
      <w:r w:rsidR="00DE4E23">
        <w:rPr>
          <w:rStyle w:val="a3"/>
          <w:rFonts w:ascii="Tahoma" w:hAnsi="Tahoma" w:cs="Tahoma"/>
          <w:color w:val="666666"/>
          <w:sz w:val="20"/>
          <w:szCs w:val="20"/>
        </w:rPr>
        <w:t xml:space="preserve">базового </w:t>
      </w:r>
      <w:r w:rsidR="00DE4E23" w:rsidRPr="00CA5C6F">
        <w:rPr>
          <w:rStyle w:val="a3"/>
          <w:rFonts w:ascii="Tahoma" w:hAnsi="Tahoma" w:cs="Tahoma"/>
          <w:color w:val="666666"/>
          <w:sz w:val="20"/>
          <w:szCs w:val="20"/>
        </w:rPr>
        <w:t>капитала</w:t>
      </w:r>
      <w:r w:rsidR="00DE4E23">
        <w:rPr>
          <w:rStyle w:val="a3"/>
          <w:rFonts w:ascii="Tahoma" w:hAnsi="Tahoma" w:cs="Tahoma"/>
          <w:color w:val="666666"/>
          <w:sz w:val="20"/>
          <w:szCs w:val="20"/>
        </w:rPr>
        <w:t xml:space="preserve"> 1-го уровня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 по стандарт</w:t>
      </w:r>
      <w:r w:rsidR="00DE4E23">
        <w:rPr>
          <w:rFonts w:ascii="Tahoma" w:hAnsi="Tahoma" w:cs="Tahoma"/>
          <w:color w:val="666666"/>
          <w:sz w:val="20"/>
          <w:szCs w:val="20"/>
        </w:rPr>
        <w:t xml:space="preserve">у 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Базель </w:t>
      </w:r>
      <w:r w:rsidRPr="005629CF"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 w:rsidRPr="005629CF">
        <w:rPr>
          <w:rFonts w:ascii="Tahoma" w:hAnsi="Tahoma" w:cs="Tahoma"/>
          <w:color w:val="666666"/>
          <w:sz w:val="20"/>
          <w:szCs w:val="20"/>
        </w:rPr>
        <w:t xml:space="preserve"> составил 11,4% по итогам года, что на 120 ба</w:t>
      </w:r>
      <w:r w:rsidR="005629CF" w:rsidRPr="005629CF">
        <w:rPr>
          <w:rFonts w:ascii="Tahoma" w:hAnsi="Tahoma" w:cs="Tahoma"/>
          <w:color w:val="666666"/>
          <w:sz w:val="20"/>
          <w:szCs w:val="20"/>
        </w:rPr>
        <w:t xml:space="preserve">зисных пунктов </w:t>
      </w:r>
      <w:r w:rsidR="00CB4672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(далее – «б.п.») </w:t>
      </w:r>
      <w:r w:rsidR="005629CF" w:rsidRPr="005629CF">
        <w:rPr>
          <w:rFonts w:ascii="Tahoma" w:hAnsi="Tahoma" w:cs="Tahoma"/>
          <w:color w:val="666666"/>
          <w:sz w:val="20"/>
          <w:szCs w:val="20"/>
        </w:rPr>
        <w:t>выше показателя 2016 года.</w:t>
      </w:r>
    </w:p>
    <w:p w:rsidR="005A2E42" w:rsidRDefault="005A2E42" w:rsidP="00195691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195691" w:rsidRDefault="008B0CD4" w:rsidP="00195691">
      <w:pPr>
        <w:shd w:val="clear" w:color="auto" w:fill="FFFFFF"/>
        <w:spacing w:line="276" w:lineRule="auto"/>
        <w:jc w:val="both"/>
        <w:rPr>
          <w:rStyle w:val="a3"/>
          <w:rFonts w:ascii="Tahoma" w:hAnsi="Tahoma" w:cs="Tahoma"/>
          <w:color w:val="666666"/>
          <w:sz w:val="20"/>
          <w:szCs w:val="20"/>
        </w:rPr>
      </w:pPr>
      <w:r>
        <w:rPr>
          <w:rStyle w:val="a3"/>
          <w:rFonts w:ascii="Tahoma" w:hAnsi="Tahoma" w:cs="Tahoma"/>
          <w:color w:val="666666"/>
          <w:sz w:val="20"/>
          <w:szCs w:val="20"/>
        </w:rPr>
        <w:t>Ключевые финансовые показатели Группы Сбербанк за 4 квартал 2017 года:</w:t>
      </w:r>
    </w:p>
    <w:p w:rsidR="008B0CD4" w:rsidRPr="00195691" w:rsidRDefault="008B0CD4" w:rsidP="00195691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8B0CD4" w:rsidRPr="00CB4672" w:rsidRDefault="008B0CD4" w:rsidP="00CB4672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b/>
          <w:color w:val="666666"/>
          <w:sz w:val="20"/>
          <w:szCs w:val="20"/>
        </w:rPr>
        <w:t>Чистая прибыль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составила </w:t>
      </w:r>
      <w:r>
        <w:rPr>
          <w:rFonts w:ascii="Tahoma" w:hAnsi="Tahoma" w:cs="Tahoma"/>
          <w:color w:val="666666"/>
          <w:sz w:val="20"/>
          <w:szCs w:val="20"/>
        </w:rPr>
        <w:t>172,4 млрд.</w:t>
      </w:r>
      <w:r w:rsidR="00CB4672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руб, или 8,1 руб. </w:t>
      </w:r>
      <w:r w:rsidR="004D21C9">
        <w:rPr>
          <w:rFonts w:ascii="Tahoma" w:hAnsi="Tahoma" w:cs="Tahoma"/>
          <w:color w:val="666666"/>
          <w:sz w:val="20"/>
          <w:szCs w:val="20"/>
        </w:rPr>
        <w:t>на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5064A8">
        <w:rPr>
          <w:rFonts w:ascii="Tahoma" w:hAnsi="Tahoma" w:cs="Tahoma"/>
          <w:color w:val="666666"/>
          <w:sz w:val="20"/>
          <w:szCs w:val="20"/>
        </w:rPr>
        <w:t xml:space="preserve">обыкновенную </w:t>
      </w:r>
      <w:r>
        <w:rPr>
          <w:rFonts w:ascii="Tahoma" w:hAnsi="Tahoma" w:cs="Tahoma"/>
          <w:color w:val="666666"/>
          <w:sz w:val="20"/>
          <w:szCs w:val="20"/>
        </w:rPr>
        <w:t>акцию в 4 квартале 2017</w:t>
      </w:r>
      <w:r w:rsidR="005064A8">
        <w:rPr>
          <w:rFonts w:ascii="Tahoma" w:hAnsi="Tahoma" w:cs="Tahoma"/>
          <w:color w:val="666666"/>
          <w:sz w:val="20"/>
          <w:szCs w:val="20"/>
        </w:rPr>
        <w:t xml:space="preserve"> года</w:t>
      </w:r>
      <w:r>
        <w:rPr>
          <w:rFonts w:ascii="Tahoma" w:hAnsi="Tahoma" w:cs="Tahoma"/>
          <w:color w:val="666666"/>
          <w:sz w:val="20"/>
          <w:szCs w:val="20"/>
        </w:rPr>
        <w:t>, увеличившись на 21,6% по сравнению с 4 кварталом 2016 года;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 </w:t>
      </w:r>
    </w:p>
    <w:p w:rsidR="00CB4672" w:rsidRPr="008B0CD4" w:rsidRDefault="00CB4672" w:rsidP="00CB4672">
      <w:pPr>
        <w:pStyle w:val="a6"/>
        <w:shd w:val="clear" w:color="auto" w:fill="FFFFFF"/>
        <w:spacing w:before="120" w:after="120" w:line="276" w:lineRule="auto"/>
        <w:ind w:left="714"/>
        <w:jc w:val="both"/>
        <w:rPr>
          <w:rFonts w:ascii="Tahoma" w:hAnsi="Tahoma" w:cs="Tahoma"/>
          <w:color w:val="666666"/>
          <w:sz w:val="20"/>
          <w:szCs w:val="20"/>
        </w:rPr>
      </w:pPr>
    </w:p>
    <w:p w:rsidR="00597513" w:rsidRPr="00CB4672" w:rsidRDefault="00597513" w:rsidP="00CB4672">
      <w:pPr>
        <w:pStyle w:val="a6"/>
        <w:numPr>
          <w:ilvl w:val="0"/>
          <w:numId w:val="13"/>
        </w:numPr>
        <w:shd w:val="clear" w:color="auto" w:fill="FFFFFF"/>
        <w:spacing w:before="120" w:after="120" w:line="276" w:lineRule="auto"/>
        <w:ind w:left="714" w:hanging="357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4B7586">
        <w:rPr>
          <w:rStyle w:val="a3"/>
          <w:rFonts w:ascii="Tahoma" w:hAnsi="Tahoma" w:cs="Tahoma"/>
          <w:color w:val="666666"/>
          <w:sz w:val="20"/>
          <w:szCs w:val="20"/>
        </w:rPr>
        <w:t>Стоимость риска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квартал составила 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>1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49 базисных пунктов, что на 29 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выше 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уровня 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3 квартал 2017 года. 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Стоимость риска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корпоративных кредитов 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выросла на 44 б.п. до 184 </w:t>
      </w:r>
      <w:r w:rsidR="004D21C9">
        <w:rPr>
          <w:rStyle w:val="a3"/>
          <w:rFonts w:ascii="Tahoma" w:hAnsi="Tahoma" w:cs="Tahoma"/>
          <w:b w:val="0"/>
          <w:color w:val="666666"/>
          <w:sz w:val="20"/>
          <w:szCs w:val="20"/>
        </w:rPr>
        <w:t>б.п.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>, в то время как стоимость риска п</w:t>
      </w:r>
      <w:r w:rsidR="00CB4672">
        <w:rPr>
          <w:rStyle w:val="a3"/>
          <w:rFonts w:ascii="Tahoma" w:hAnsi="Tahoma" w:cs="Tahoma"/>
          <w:b w:val="0"/>
          <w:color w:val="666666"/>
          <w:sz w:val="20"/>
          <w:szCs w:val="20"/>
        </w:rPr>
        <w:t>о портфелю кредитов физическим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лиц</w:t>
      </w:r>
      <w:r w:rsidR="005064A8">
        <w:rPr>
          <w:rStyle w:val="a3"/>
          <w:rFonts w:ascii="Tahoma" w:hAnsi="Tahoma" w:cs="Tahoma"/>
          <w:b w:val="0"/>
          <w:color w:val="666666"/>
          <w:sz w:val="20"/>
          <w:szCs w:val="20"/>
        </w:rPr>
        <w:t>ам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снизилась на 10 б.п. до 58 </w:t>
      </w:r>
      <w:r w:rsidR="004D21C9">
        <w:rPr>
          <w:rStyle w:val="a3"/>
          <w:rFonts w:ascii="Tahoma" w:hAnsi="Tahoma" w:cs="Tahoma"/>
          <w:b w:val="0"/>
          <w:color w:val="666666"/>
          <w:sz w:val="20"/>
          <w:szCs w:val="20"/>
        </w:rPr>
        <w:t>б.п.</w:t>
      </w:r>
      <w:r w:rsidR="008B0CD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по сравнению с 3 кварталом 2017 года;</w:t>
      </w:r>
    </w:p>
    <w:p w:rsidR="00CB4672" w:rsidRPr="00CB4672" w:rsidRDefault="00CB4672" w:rsidP="00CB4672">
      <w:pPr>
        <w:pStyle w:val="a6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</w:p>
    <w:p w:rsidR="003A3154" w:rsidRDefault="003A3154" w:rsidP="00CB4672">
      <w:pPr>
        <w:pStyle w:val="a6"/>
        <w:numPr>
          <w:ilvl w:val="0"/>
          <w:numId w:val="1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Tahoma" w:hAnsi="Tahoma" w:cs="Tahoma"/>
          <w:color w:val="666666"/>
          <w:sz w:val="20"/>
          <w:szCs w:val="20"/>
        </w:rPr>
      </w:pPr>
      <w:r w:rsidRPr="003A3154">
        <w:rPr>
          <w:rFonts w:ascii="Tahoma" w:hAnsi="Tahoma" w:cs="Tahoma"/>
          <w:b/>
          <w:color w:val="666666"/>
          <w:sz w:val="20"/>
          <w:szCs w:val="20"/>
        </w:rPr>
        <w:t>Средства клиентов</w:t>
      </w:r>
      <w:r w:rsidRPr="003A3154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увеличились на 3,4% до 19,8 трлн. руб. в 4 квартале 2017 по сравнению с 3 кварталом 2017 года. Р</w:t>
      </w:r>
      <w:r w:rsidRPr="003A3154">
        <w:rPr>
          <w:rFonts w:ascii="Tahoma" w:hAnsi="Tahoma" w:cs="Tahoma"/>
          <w:color w:val="666666"/>
          <w:sz w:val="20"/>
          <w:szCs w:val="20"/>
        </w:rPr>
        <w:t>озничны</w:t>
      </w:r>
      <w:r>
        <w:rPr>
          <w:rFonts w:ascii="Tahoma" w:hAnsi="Tahoma" w:cs="Tahoma"/>
          <w:color w:val="666666"/>
          <w:sz w:val="20"/>
          <w:szCs w:val="20"/>
        </w:rPr>
        <w:t>е</w:t>
      </w:r>
      <w:r w:rsidRPr="003A3154">
        <w:rPr>
          <w:rFonts w:ascii="Tahoma" w:hAnsi="Tahoma" w:cs="Tahoma"/>
          <w:color w:val="666666"/>
          <w:sz w:val="20"/>
          <w:szCs w:val="20"/>
        </w:rPr>
        <w:t xml:space="preserve"> депозит</w:t>
      </w:r>
      <w:r>
        <w:rPr>
          <w:rFonts w:ascii="Tahoma" w:hAnsi="Tahoma" w:cs="Tahoma"/>
          <w:color w:val="666666"/>
          <w:sz w:val="20"/>
          <w:szCs w:val="20"/>
        </w:rPr>
        <w:t xml:space="preserve">ы выросли на 4,9%, а депозиты </w:t>
      </w:r>
      <w:r w:rsidRPr="003A3154">
        <w:rPr>
          <w:rFonts w:ascii="Tahoma" w:hAnsi="Tahoma" w:cs="Tahoma"/>
          <w:color w:val="666666"/>
          <w:sz w:val="20"/>
          <w:szCs w:val="20"/>
        </w:rPr>
        <w:t>корпоративн</w:t>
      </w:r>
      <w:r w:rsidR="004D21C9">
        <w:rPr>
          <w:rFonts w:ascii="Tahoma" w:hAnsi="Tahoma" w:cs="Tahoma"/>
          <w:color w:val="666666"/>
          <w:sz w:val="20"/>
          <w:szCs w:val="20"/>
        </w:rPr>
        <w:t>ых</w:t>
      </w:r>
      <w:r w:rsidRPr="003A315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D21C9">
        <w:rPr>
          <w:rFonts w:ascii="Tahoma" w:hAnsi="Tahoma" w:cs="Tahoma"/>
          <w:color w:val="666666"/>
          <w:sz w:val="20"/>
          <w:szCs w:val="20"/>
        </w:rPr>
        <w:t xml:space="preserve">клиентов </w:t>
      </w:r>
      <w:r>
        <w:rPr>
          <w:rFonts w:ascii="Tahoma" w:hAnsi="Tahoma" w:cs="Tahoma"/>
          <w:color w:val="666666"/>
          <w:sz w:val="20"/>
          <w:szCs w:val="20"/>
        </w:rPr>
        <w:t xml:space="preserve">– на 0,5% за </w:t>
      </w:r>
      <w:r w:rsidR="005064A8">
        <w:rPr>
          <w:rFonts w:ascii="Tahoma" w:hAnsi="Tahoma" w:cs="Tahoma"/>
          <w:color w:val="666666"/>
          <w:sz w:val="20"/>
          <w:szCs w:val="20"/>
        </w:rPr>
        <w:t>квартал</w:t>
      </w:r>
      <w:r>
        <w:rPr>
          <w:rFonts w:ascii="Tahoma" w:hAnsi="Tahoma" w:cs="Tahoma"/>
          <w:color w:val="666666"/>
          <w:sz w:val="20"/>
          <w:szCs w:val="20"/>
        </w:rPr>
        <w:t xml:space="preserve">. </w:t>
      </w:r>
      <w:r w:rsidRPr="003A3154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4D21C9" w:rsidRDefault="004D21C9" w:rsidP="00DE40AA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DE40AA" w:rsidRPr="00345061" w:rsidRDefault="003A3154" w:rsidP="00DE40AA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45061">
        <w:rPr>
          <w:rFonts w:ascii="Tahoma" w:hAnsi="Tahoma" w:cs="Tahoma"/>
          <w:b/>
          <w:color w:val="666666"/>
          <w:sz w:val="20"/>
          <w:szCs w:val="20"/>
        </w:rPr>
        <w:t xml:space="preserve">Обзор основных финансовых показателей </w:t>
      </w:r>
    </w:p>
    <w:tbl>
      <w:tblPr>
        <w:tblStyle w:val="-30"/>
        <w:tblpPr w:leftFromText="180" w:rightFromText="180" w:vertAnchor="text" w:horzAnchor="margin" w:tblpX="-176" w:tblpY="357"/>
        <w:tblW w:w="10881" w:type="dxa"/>
        <w:tblLayout w:type="fixed"/>
        <w:tblLook w:val="0420" w:firstRow="1" w:lastRow="0" w:firstColumn="0" w:lastColumn="0" w:noHBand="0" w:noVBand="1"/>
      </w:tblPr>
      <w:tblGrid>
        <w:gridCol w:w="2660"/>
        <w:gridCol w:w="904"/>
        <w:gridCol w:w="900"/>
        <w:gridCol w:w="889"/>
        <w:gridCol w:w="11"/>
        <w:gridCol w:w="1080"/>
        <w:gridCol w:w="90"/>
        <w:gridCol w:w="1148"/>
        <w:gridCol w:w="1073"/>
        <w:gridCol w:w="981"/>
        <w:gridCol w:w="1145"/>
      </w:tblGrid>
      <w:tr w:rsidR="00DE40AA" w:rsidRPr="00EC1C74" w:rsidTr="003B6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660" w:type="dxa"/>
          </w:tcPr>
          <w:p w:rsidR="00DE40AA" w:rsidRPr="00122CEE" w:rsidRDefault="00DE40AA" w:rsidP="003B6BFE">
            <w:pP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В млрд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руб</w:t>
            </w: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, если не указано иное</w:t>
            </w:r>
          </w:p>
        </w:tc>
        <w:tc>
          <w:tcPr>
            <w:tcW w:w="904" w:type="dxa"/>
          </w:tcPr>
          <w:p w:rsidR="00DE40AA" w:rsidRPr="00FF5789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4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</w:tcPr>
          <w:p w:rsidR="00DE40AA" w:rsidRPr="00FF5789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gridSpan w:val="2"/>
          </w:tcPr>
          <w:p w:rsidR="00DE40AA" w:rsidRPr="00CB4672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4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201</w:t>
            </w:r>
            <w:r w:rsidR="00CB4672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</w:tcPr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4 кв. 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7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3 кв.1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7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16"/>
                <w:szCs w:val="16"/>
              </w:rPr>
              <w:t xml:space="preserve">% изм.  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4 кв. 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7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4 кв. 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6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16"/>
                <w:szCs w:val="16"/>
              </w:rPr>
              <w:t xml:space="preserve">% изм.  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DE40AA" w:rsidRPr="00FF5789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M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981" w:type="dxa"/>
          </w:tcPr>
          <w:p w:rsidR="00DE40AA" w:rsidRPr="00122CEE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M</w:t>
            </w:r>
            <w:r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2016</w:t>
            </w:r>
          </w:p>
        </w:tc>
        <w:tc>
          <w:tcPr>
            <w:tcW w:w="1145" w:type="dxa"/>
          </w:tcPr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7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6</w:t>
            </w:r>
          </w:p>
          <w:p w:rsidR="00DE40AA" w:rsidRPr="00EC1C74" w:rsidRDefault="00DE40AA" w:rsidP="003B6BF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EC1C74">
              <w:rPr>
                <w:rStyle w:val="a3"/>
                <w:rFonts w:ascii="Tahoma" w:hAnsi="Tahoma" w:cs="Tahoma"/>
                <w:b/>
                <w:i/>
                <w:color w:val="666666"/>
                <w:sz w:val="16"/>
                <w:szCs w:val="16"/>
              </w:rPr>
              <w:t xml:space="preserve">% изм.  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процентный доход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382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375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355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1%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8%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452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362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6%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комиссион</w:t>
            </w:r>
            <w:r w:rsidRPr="00131B6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ный </w:t>
            </w: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доход</w:t>
            </w:r>
          </w:p>
        </w:tc>
        <w:tc>
          <w:tcPr>
            <w:tcW w:w="904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118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100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gridSpan w:val="2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97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dxa"/>
            <w:gridSpan w:val="2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16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9%</w:t>
            </w:r>
          </w:p>
        </w:tc>
        <w:tc>
          <w:tcPr>
            <w:tcW w:w="1148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21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1%</w:t>
            </w:r>
          </w:p>
        </w:tc>
        <w:tc>
          <w:tcPr>
            <w:tcW w:w="1073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394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2</w:t>
            </w:r>
          </w:p>
        </w:tc>
        <w:tc>
          <w:tcPr>
            <w:tcW w:w="981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349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12</w:t>
            </w:r>
            <w:r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9%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Прочие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непроцентные </w:t>
            </w: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доходы</w:t>
            </w:r>
            <w:r>
              <w:rPr>
                <w:rStyle w:val="af5"/>
                <w:rFonts w:ascii="Tahoma" w:hAnsi="Tahoma" w:cs="Tahoma"/>
                <w:bCs/>
                <w:color w:val="666666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22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DE40AA" w:rsidRPr="00DE40AA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10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-97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7%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--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57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(14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4)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--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Доходы всего </w:t>
            </w:r>
          </w:p>
        </w:tc>
        <w:tc>
          <w:tcPr>
            <w:tcW w:w="904" w:type="dxa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501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498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442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:rsidR="00DE40AA" w:rsidRPr="0077702A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77702A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77702A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7%</w:t>
            </w:r>
          </w:p>
        </w:tc>
        <w:tc>
          <w:tcPr>
            <w:tcW w:w="1148" w:type="dxa"/>
          </w:tcPr>
          <w:p w:rsidR="00DE40AA" w:rsidRPr="0077702A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77702A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77702A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4%</w:t>
            </w:r>
          </w:p>
        </w:tc>
        <w:tc>
          <w:tcPr>
            <w:tcW w:w="1073" w:type="dxa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903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981" w:type="dxa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697</w:t>
            </w:r>
            <w:r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DE40AA" w:rsidRPr="0077702A" w:rsidRDefault="00DE40AA" w:rsidP="003B6BFE">
            <w:pPr>
              <w:jc w:val="right"/>
              <w:rPr>
                <w:rFonts w:ascii="Tahoma" w:hAnsi="Tahoma" w:cs="Tahoma"/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77702A">
              <w:rPr>
                <w:rFonts w:ascii="Tahoma" w:hAnsi="Tahoma" w:cs="Tahoma"/>
                <w:b/>
                <w:bCs/>
                <w:i/>
                <w:color w:val="595959" w:themeColor="text1" w:themeTint="A6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b/>
                <w:bCs/>
                <w:i/>
                <w:color w:val="595959" w:themeColor="text1" w:themeTint="A6"/>
                <w:sz w:val="20"/>
                <w:szCs w:val="20"/>
              </w:rPr>
              <w:t>,</w:t>
            </w:r>
            <w:r w:rsidRPr="0077702A">
              <w:rPr>
                <w:rFonts w:ascii="Tahoma" w:hAnsi="Tahoma" w:cs="Tahoma"/>
                <w:b/>
                <w:bCs/>
                <w:i/>
                <w:color w:val="595959" w:themeColor="text1" w:themeTint="A6"/>
                <w:sz w:val="20"/>
                <w:szCs w:val="20"/>
              </w:rPr>
              <w:t>1%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9152BC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р</w:t>
            </w:r>
            <w:r w:rsidRPr="009152B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асход от создания резерва</w:t>
            </w:r>
            <w:r w:rsidR="00E11D13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под обесценение долговых финансовых активов 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72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7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58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3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24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9%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20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6%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287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3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342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4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-</w:t>
            </w:r>
            <w:r w:rsidRPr="00B17AF1"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1%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Операционные расходы</w:t>
            </w:r>
          </w:p>
        </w:tc>
        <w:tc>
          <w:tcPr>
            <w:tcW w:w="904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203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9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160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4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gridSpan w:val="2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0)</w:t>
            </w:r>
          </w:p>
        </w:tc>
        <w:tc>
          <w:tcPr>
            <w:tcW w:w="1170" w:type="dxa"/>
            <w:gridSpan w:val="2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27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1%</w:t>
            </w:r>
          </w:p>
        </w:tc>
        <w:tc>
          <w:tcPr>
            <w:tcW w:w="1148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9%</w:t>
            </w:r>
          </w:p>
        </w:tc>
        <w:tc>
          <w:tcPr>
            <w:tcW w:w="1073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672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8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981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677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6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145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i/>
                <w:color w:val="595959" w:themeColor="text1" w:themeTint="A6"/>
                <w:sz w:val="20"/>
                <w:szCs w:val="20"/>
              </w:rPr>
              <w:t>7%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Чистая прибыль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172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224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141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-23</w:t>
            </w:r>
            <w:r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1%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21</w:t>
            </w:r>
            <w:r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i/>
                <w:color w:val="595959" w:themeColor="text1" w:themeTint="A6"/>
                <w:sz w:val="20"/>
                <w:szCs w:val="20"/>
                <w:lang w:val="en-US"/>
              </w:rPr>
              <w:t>6%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748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541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9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38</w:t>
            </w: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2%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Прибыль на обыкновенную акцию, руб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</w:p>
        </w:tc>
        <w:tc>
          <w:tcPr>
            <w:tcW w:w="904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33</w:t>
            </w:r>
          </w:p>
        </w:tc>
        <w:tc>
          <w:tcPr>
            <w:tcW w:w="900" w:type="dxa"/>
            <w:gridSpan w:val="2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color w:val="595959" w:themeColor="text1" w:themeTint="A6"/>
                <w:sz w:val="20"/>
                <w:szCs w:val="20"/>
                <w:lang w:val="en-US"/>
              </w:rPr>
              <w:t>54</w:t>
            </w:r>
          </w:p>
        </w:tc>
        <w:tc>
          <w:tcPr>
            <w:tcW w:w="1170" w:type="dxa"/>
            <w:gridSpan w:val="2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-21</w:t>
            </w:r>
            <w:r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6%</w:t>
            </w:r>
          </w:p>
        </w:tc>
        <w:tc>
          <w:tcPr>
            <w:tcW w:w="1148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23</w:t>
            </w:r>
            <w:r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Fonts w:ascii="Tahoma" w:hAnsi="Tahoma" w:cs="Tahoma"/>
                <w:bCs/>
                <w:i/>
                <w:color w:val="595959" w:themeColor="text1" w:themeTint="A6"/>
                <w:sz w:val="20"/>
                <w:szCs w:val="20"/>
                <w:lang w:val="en-US"/>
              </w:rPr>
              <w:t>9%</w:t>
            </w:r>
          </w:p>
        </w:tc>
        <w:tc>
          <w:tcPr>
            <w:tcW w:w="1073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34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58</w:t>
            </w:r>
          </w:p>
        </w:tc>
        <w:tc>
          <w:tcPr>
            <w:tcW w:w="981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00</w:t>
            </w:r>
          </w:p>
        </w:tc>
        <w:tc>
          <w:tcPr>
            <w:tcW w:w="1145" w:type="dxa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38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3%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Совокупный доход за период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168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pStyle w:val="Default"/>
              <w:jc w:val="right"/>
              <w:rPr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color w:val="595959" w:themeColor="text1" w:themeTint="A6"/>
                <w:sz w:val="20"/>
                <w:szCs w:val="20"/>
              </w:rPr>
              <w:t>226</w:t>
            </w:r>
            <w:r>
              <w:rPr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color w:val="595959" w:themeColor="text1" w:themeTint="A6"/>
                <w:sz w:val="20"/>
                <w:szCs w:val="20"/>
              </w:rPr>
              <w:t xml:space="preserve">0 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</w:pP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88</w:t>
            </w:r>
            <w:r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,</w:t>
            </w:r>
            <w:r w:rsidRPr="00B17AF1">
              <w:rPr>
                <w:rFonts w:ascii="Tahoma" w:hAnsi="Tahoma" w:cs="Tahoma"/>
                <w:bCs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-25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4%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91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6%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750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5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492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4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52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4%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25D7E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Балансовая стоимость на обыкновенную акцию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*</w:t>
            </w: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 руб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159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DE40AA" w:rsidRPr="00B17AF1" w:rsidRDefault="00DE40AA" w:rsidP="003B6BFE">
            <w:pPr>
              <w:pStyle w:val="Default"/>
              <w:jc w:val="right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B17AF1">
              <w:rPr>
                <w:color w:val="595959" w:themeColor="text1" w:themeTint="A6"/>
                <w:sz w:val="20"/>
                <w:szCs w:val="20"/>
              </w:rPr>
              <w:t>144</w:t>
            </w:r>
            <w:r>
              <w:rPr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color w:val="595959" w:themeColor="text1" w:themeTint="A6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gridSpan w:val="2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130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1170" w:type="dxa"/>
            <w:gridSpan w:val="2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10,1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%</w:t>
            </w:r>
          </w:p>
        </w:tc>
        <w:tc>
          <w:tcPr>
            <w:tcW w:w="1148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21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8%</w:t>
            </w:r>
          </w:p>
        </w:tc>
        <w:tc>
          <w:tcPr>
            <w:tcW w:w="1073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159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2</w:t>
            </w:r>
          </w:p>
        </w:tc>
        <w:tc>
          <w:tcPr>
            <w:tcW w:w="981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130</w:t>
            </w:r>
            <w:r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color w:val="595959" w:themeColor="text1" w:themeTint="A6"/>
                <w:sz w:val="20"/>
                <w:szCs w:val="20"/>
                <w:lang w:val="en-US"/>
              </w:rPr>
              <w:t>7</w:t>
            </w:r>
          </w:p>
        </w:tc>
        <w:tc>
          <w:tcPr>
            <w:tcW w:w="1145" w:type="dxa"/>
          </w:tcPr>
          <w:p w:rsidR="00DE40AA" w:rsidRPr="00B17AF1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21</w:t>
            </w:r>
            <w:r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,</w:t>
            </w:r>
            <w:r w:rsidRPr="00B17AF1">
              <w:rPr>
                <w:rStyle w:val="a3"/>
                <w:rFonts w:ascii="Tahoma" w:hAnsi="Tahoma" w:cs="Tahoma"/>
                <w:b w:val="0"/>
                <w:i/>
                <w:color w:val="595959" w:themeColor="text1" w:themeTint="A6"/>
                <w:sz w:val="20"/>
                <w:szCs w:val="20"/>
                <w:lang w:val="en-US"/>
              </w:rPr>
              <w:t>8%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5353" w:type="dxa"/>
            <w:gridSpan w:val="4"/>
            <w:shd w:val="clear" w:color="auto" w:fill="D6E3BC" w:themeFill="accent3" w:themeFillTint="66"/>
          </w:tcPr>
          <w:p w:rsidR="00DE40AA" w:rsidRPr="008C2184" w:rsidRDefault="00DE40AA" w:rsidP="003B6BF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 w:rsidRPr="008C2184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Основные финансовые коэффициенты </w:t>
            </w:r>
          </w:p>
        </w:tc>
        <w:tc>
          <w:tcPr>
            <w:tcW w:w="1091" w:type="dxa"/>
            <w:gridSpan w:val="2"/>
            <w:shd w:val="clear" w:color="auto" w:fill="D6E3BC" w:themeFill="accent3" w:themeFillTint="66"/>
          </w:tcPr>
          <w:p w:rsidR="00DE40AA" w:rsidRPr="00481A59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DE40AA" w:rsidRPr="00481A59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481A59" w:rsidRDefault="00DE40AA" w:rsidP="003B6BF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481A59" w:rsidRDefault="00DE40AA" w:rsidP="003B6BF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481A59" w:rsidRDefault="00DE40AA" w:rsidP="003B6BFE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D35C2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Рентабельность собственных средств</w:t>
            </w:r>
          </w:p>
        </w:tc>
        <w:tc>
          <w:tcPr>
            <w:tcW w:w="904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20,6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28,4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889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20,4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1091" w:type="dxa"/>
            <w:gridSpan w:val="2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8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238" w:type="dxa"/>
            <w:gridSpan w:val="2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2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073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color w:val="404040"/>
                <w:sz w:val="20"/>
                <w:szCs w:val="20"/>
              </w:rPr>
              <w:t>,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2%</w:t>
            </w:r>
          </w:p>
        </w:tc>
        <w:tc>
          <w:tcPr>
            <w:tcW w:w="981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20,8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1145" w:type="dxa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4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D35C2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Рентабельность активов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2,6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3,4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889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2,2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1091" w:type="dxa"/>
            <w:gridSpan w:val="2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8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4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2,9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</w:rPr>
              <w:t>2,1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%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8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  <w:tr w:rsidR="00DE40AA" w:rsidRPr="00B25D7E" w:rsidTr="003B6BFE">
        <w:trPr>
          <w:trHeight w:val="360"/>
        </w:trPr>
        <w:tc>
          <w:tcPr>
            <w:tcW w:w="2660" w:type="dxa"/>
          </w:tcPr>
          <w:p w:rsidR="00DE40AA" w:rsidRPr="00BD35C2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Чистая процентная маржа</w:t>
            </w:r>
            <w:r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404040"/>
                <w:sz w:val="20"/>
                <w:szCs w:val="20"/>
              </w:rPr>
              <w:t>,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1%</w:t>
            </w:r>
          </w:p>
        </w:tc>
        <w:tc>
          <w:tcPr>
            <w:tcW w:w="900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404040"/>
                <w:sz w:val="20"/>
                <w:szCs w:val="20"/>
              </w:rPr>
              <w:t>,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</w:rPr>
              <w:t>1%</w:t>
            </w:r>
          </w:p>
        </w:tc>
        <w:tc>
          <w:tcPr>
            <w:tcW w:w="889" w:type="dxa"/>
          </w:tcPr>
          <w:p w:rsidR="00DE40AA" w:rsidRPr="0007237F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 w:rsidRPr="0007237F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,1</w:t>
            </w:r>
            <w:r w:rsidRPr="0007237F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1091" w:type="dxa"/>
            <w:gridSpan w:val="2"/>
          </w:tcPr>
          <w:p w:rsidR="00DE40AA" w:rsidRPr="000323A0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без изм</w:t>
            </w:r>
          </w:p>
        </w:tc>
        <w:tc>
          <w:tcPr>
            <w:tcW w:w="1238" w:type="dxa"/>
            <w:gridSpan w:val="2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без изм</w:t>
            </w:r>
          </w:p>
        </w:tc>
        <w:tc>
          <w:tcPr>
            <w:tcW w:w="1073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6,0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981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5,7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1145" w:type="dxa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3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  <w:tr w:rsidR="00DE40AA" w:rsidRPr="00B25D7E" w:rsidTr="003B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DE40AA" w:rsidRPr="00BD35C2" w:rsidRDefault="00DE40AA" w:rsidP="003B6BF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Стоимость риска</w:t>
            </w:r>
            <w:r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 xml:space="preserve">149 </w:t>
            </w: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бп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 xml:space="preserve">120 </w:t>
            </w: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бп</w:t>
            </w:r>
          </w:p>
        </w:tc>
        <w:tc>
          <w:tcPr>
            <w:tcW w:w="889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 xml:space="preserve">122 </w:t>
            </w: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бп</w:t>
            </w:r>
          </w:p>
        </w:tc>
        <w:tc>
          <w:tcPr>
            <w:tcW w:w="1091" w:type="dxa"/>
            <w:gridSpan w:val="2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29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бп</w:t>
            </w: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27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бп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151 бп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177 бп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26 бп</w:t>
            </w:r>
          </w:p>
        </w:tc>
      </w:tr>
      <w:tr w:rsidR="00DE40AA" w:rsidRPr="00B25D7E" w:rsidTr="003B6BFE">
        <w:trPr>
          <w:trHeight w:val="362"/>
        </w:trPr>
        <w:tc>
          <w:tcPr>
            <w:tcW w:w="2660" w:type="dxa"/>
          </w:tcPr>
          <w:p w:rsidR="00DE40AA" w:rsidRPr="009152BC" w:rsidRDefault="00DE40AA" w:rsidP="003B6BFE">
            <w:pPr>
              <w:ind w:right="-108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Отношение операционных расходов к операционным доходам</w:t>
            </w:r>
          </w:p>
        </w:tc>
        <w:tc>
          <w:tcPr>
            <w:tcW w:w="904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40,6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900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32,0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889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45,9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1091" w:type="dxa"/>
            <w:gridSpan w:val="2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6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238" w:type="dxa"/>
            <w:gridSpan w:val="2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3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073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35,2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981" w:type="dxa"/>
          </w:tcPr>
          <w:p w:rsidR="00DE40AA" w:rsidRPr="007B17CC" w:rsidRDefault="00DE40AA" w:rsidP="003B6BFE">
            <w:pPr>
              <w:jc w:val="right"/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39,7</w:t>
            </w:r>
            <w:r w:rsidRPr="007B17CC">
              <w:rPr>
                <w:rFonts w:ascii="Tahoma" w:hAnsi="Tahoma" w:cs="Tahoma"/>
                <w:color w:val="404040"/>
                <w:sz w:val="20"/>
                <w:szCs w:val="20"/>
                <w:lang w:val="en-US"/>
              </w:rPr>
              <w:t>%</w:t>
            </w:r>
          </w:p>
        </w:tc>
        <w:tc>
          <w:tcPr>
            <w:tcW w:w="1145" w:type="dxa"/>
          </w:tcPr>
          <w:p w:rsidR="00DE40AA" w:rsidRPr="007B17CC" w:rsidRDefault="00DE40AA" w:rsidP="003B6BF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7B17C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5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</w:tbl>
    <w:p w:rsidR="00EF1351" w:rsidRPr="005064A8" w:rsidRDefault="00FE7B96" w:rsidP="00BD09A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i/>
          <w:color w:val="666666"/>
          <w:sz w:val="16"/>
          <w:szCs w:val="16"/>
        </w:rPr>
      </w:pPr>
      <w:r w:rsidRPr="00131B6C">
        <w:rPr>
          <w:rFonts w:ascii="Tahoma" w:hAnsi="Tahoma" w:cs="Tahoma"/>
          <w:i/>
          <w:color w:val="666666"/>
          <w:sz w:val="16"/>
          <w:szCs w:val="16"/>
        </w:rPr>
        <w:t>*</w:t>
      </w:r>
      <w:r w:rsidR="00764278" w:rsidRPr="00131B6C">
        <w:rPr>
          <w:rFonts w:ascii="Tahoma" w:hAnsi="Tahoma" w:cs="Tahoma"/>
          <w:i/>
          <w:color w:val="666666"/>
          <w:sz w:val="16"/>
          <w:szCs w:val="16"/>
        </w:rPr>
        <w:t>Собственные средства</w:t>
      </w:r>
      <w:r w:rsidR="001F4F52" w:rsidRPr="001F4F52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Pr="00131B6C">
        <w:rPr>
          <w:rFonts w:ascii="Tahoma" w:hAnsi="Tahoma" w:cs="Tahoma"/>
          <w:i/>
          <w:color w:val="666666"/>
          <w:sz w:val="16"/>
          <w:szCs w:val="16"/>
        </w:rPr>
        <w:t>/</w:t>
      </w:r>
      <w:r w:rsidR="001F4F52" w:rsidRPr="001F4F52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Pr="00131B6C">
        <w:rPr>
          <w:rFonts w:ascii="Tahoma" w:hAnsi="Tahoma" w:cs="Tahoma"/>
          <w:i/>
          <w:color w:val="666666"/>
          <w:sz w:val="16"/>
          <w:szCs w:val="16"/>
        </w:rPr>
        <w:t>Общее количество</w:t>
      </w:r>
      <w:r w:rsidR="003C5910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="003C5910" w:rsidRPr="00131B6C">
        <w:rPr>
          <w:rFonts w:ascii="Tahoma" w:hAnsi="Tahoma" w:cs="Tahoma"/>
          <w:i/>
          <w:color w:val="666666"/>
          <w:sz w:val="16"/>
          <w:szCs w:val="16"/>
        </w:rPr>
        <w:t>обыкновенны</w:t>
      </w:r>
      <w:r w:rsidR="003C5910">
        <w:rPr>
          <w:rFonts w:ascii="Tahoma" w:hAnsi="Tahoma" w:cs="Tahoma"/>
          <w:i/>
          <w:color w:val="666666"/>
          <w:sz w:val="16"/>
          <w:szCs w:val="16"/>
        </w:rPr>
        <w:t>х акций в обращении</w:t>
      </w:r>
      <w:r w:rsidR="00131B6C">
        <w:rPr>
          <w:rFonts w:ascii="Tahoma" w:hAnsi="Tahoma" w:cs="Tahoma"/>
          <w:i/>
          <w:color w:val="666666"/>
          <w:sz w:val="16"/>
          <w:szCs w:val="16"/>
        </w:rPr>
        <w:t>.</w:t>
      </w:r>
    </w:p>
    <w:p w:rsidR="0089724E" w:rsidRDefault="0089724E" w:rsidP="009F18A7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 w:rsidRPr="00933C06">
        <w:rPr>
          <w:rStyle w:val="a3"/>
          <w:rFonts w:ascii="Tahoma" w:hAnsi="Tahoma" w:cs="Tahoma"/>
          <w:color w:val="666666"/>
          <w:sz w:val="20"/>
          <w:szCs w:val="20"/>
        </w:rPr>
        <w:t>Чистые процентные доходы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B4689C">
        <w:rPr>
          <w:rStyle w:val="a3"/>
          <w:rFonts w:ascii="Tahoma" w:hAnsi="Tahoma" w:cs="Tahoma"/>
          <w:b w:val="0"/>
          <w:color w:val="666666"/>
          <w:sz w:val="20"/>
          <w:szCs w:val="20"/>
        </w:rPr>
        <w:t>за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4B0A71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квартал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201</w:t>
      </w:r>
      <w:r w:rsidR="009770A1">
        <w:rPr>
          <w:rStyle w:val="a3"/>
          <w:rFonts w:ascii="Tahoma" w:hAnsi="Tahoma" w:cs="Tahoma"/>
          <w:b w:val="0"/>
          <w:color w:val="666666"/>
          <w:sz w:val="20"/>
          <w:szCs w:val="20"/>
        </w:rPr>
        <w:t>7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года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составили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64278" w:rsidRPr="00A35C9D">
        <w:rPr>
          <w:rStyle w:val="a3"/>
          <w:rFonts w:ascii="Tahoma" w:hAnsi="Tahoma" w:cs="Tahoma"/>
          <w:color w:val="666666"/>
          <w:sz w:val="20"/>
          <w:szCs w:val="20"/>
        </w:rPr>
        <w:t>3</w:t>
      </w:r>
      <w:r w:rsidR="009770A1">
        <w:rPr>
          <w:rStyle w:val="a3"/>
          <w:rFonts w:ascii="Tahoma" w:hAnsi="Tahoma" w:cs="Tahoma"/>
          <w:color w:val="666666"/>
          <w:sz w:val="20"/>
          <w:szCs w:val="20"/>
        </w:rPr>
        <w:t>82</w:t>
      </w:r>
      <w:r w:rsidR="00764278" w:rsidRPr="00A35C9D">
        <w:rPr>
          <w:rStyle w:val="a3"/>
          <w:rFonts w:ascii="Tahoma" w:hAnsi="Tahoma" w:cs="Tahoma"/>
          <w:color w:val="666666"/>
          <w:sz w:val="20"/>
          <w:szCs w:val="20"/>
        </w:rPr>
        <w:t>,</w:t>
      </w:r>
      <w:r w:rsidR="009770A1">
        <w:rPr>
          <w:rStyle w:val="a3"/>
          <w:rFonts w:ascii="Tahoma" w:hAnsi="Tahoma" w:cs="Tahoma"/>
          <w:color w:val="666666"/>
          <w:sz w:val="20"/>
          <w:szCs w:val="20"/>
        </w:rPr>
        <w:t>9</w:t>
      </w:r>
      <w:r w:rsidR="00923D96"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933C06"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>,</w:t>
      </w:r>
      <w:r w:rsidR="00CB4672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увеличившись </w:t>
      </w:r>
      <w:r w:rsidR="009770A1">
        <w:rPr>
          <w:rStyle w:val="a3"/>
          <w:rFonts w:ascii="Tahoma" w:hAnsi="Tahoma" w:cs="Tahoma"/>
          <w:b w:val="0"/>
          <w:color w:val="666666"/>
          <w:sz w:val="20"/>
          <w:szCs w:val="20"/>
        </w:rPr>
        <w:t>на 7,8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% </w:t>
      </w:r>
      <w:r w:rsidR="00B4689C">
        <w:rPr>
          <w:rStyle w:val="a3"/>
          <w:rFonts w:ascii="Tahoma" w:hAnsi="Tahoma" w:cs="Tahoma"/>
          <w:b w:val="0"/>
          <w:color w:val="666666"/>
          <w:sz w:val="20"/>
          <w:szCs w:val="20"/>
        </w:rPr>
        <w:t>относительно аналогичного периода прошлого года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>:</w:t>
      </w:r>
    </w:p>
    <w:p w:rsidR="00A35C9D" w:rsidRDefault="00B4689C" w:rsidP="009F18A7">
      <w:pPr>
        <w:pStyle w:val="a6"/>
        <w:numPr>
          <w:ilvl w:val="0"/>
          <w:numId w:val="14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color w:val="666666"/>
          <w:sz w:val="20"/>
          <w:szCs w:val="20"/>
        </w:rPr>
        <w:t>Динамика процентных доходов</w:t>
      </w:r>
      <w:r w:rsidR="00F44C5E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D07FBA" w:rsidRPr="00B25D7E">
        <w:rPr>
          <w:rFonts w:ascii="Tahoma" w:hAnsi="Tahoma" w:cs="Tahoma"/>
          <w:color w:val="666666"/>
          <w:sz w:val="20"/>
          <w:szCs w:val="20"/>
        </w:rPr>
        <w:t>(</w:t>
      </w:r>
      <w:r w:rsidR="009770A1">
        <w:rPr>
          <w:rFonts w:ascii="Tahoma" w:hAnsi="Tahoma" w:cs="Tahoma"/>
          <w:color w:val="666666"/>
          <w:sz w:val="20"/>
          <w:szCs w:val="20"/>
        </w:rPr>
        <w:t xml:space="preserve">рост на 0,5% </w:t>
      </w:r>
      <w:r w:rsidR="00B30905" w:rsidRPr="00B25D7E">
        <w:rPr>
          <w:rFonts w:ascii="Tahoma" w:hAnsi="Tahoma" w:cs="Tahoma"/>
          <w:color w:val="666666"/>
          <w:sz w:val="20"/>
          <w:szCs w:val="20"/>
        </w:rPr>
        <w:t>до</w:t>
      </w:r>
      <w:r w:rsidR="00764278">
        <w:rPr>
          <w:rFonts w:ascii="Tahoma" w:hAnsi="Tahoma" w:cs="Tahoma"/>
          <w:color w:val="666666"/>
          <w:sz w:val="20"/>
          <w:szCs w:val="20"/>
        </w:rPr>
        <w:t xml:space="preserve"> 59</w:t>
      </w:r>
      <w:r w:rsidR="009770A1">
        <w:rPr>
          <w:rFonts w:ascii="Tahoma" w:hAnsi="Tahoma" w:cs="Tahoma"/>
          <w:color w:val="666666"/>
          <w:sz w:val="20"/>
          <w:szCs w:val="20"/>
        </w:rPr>
        <w:t>8,3</w:t>
      </w:r>
      <w:r w:rsidR="00923D96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82361A">
        <w:rPr>
          <w:rFonts w:ascii="Tahoma" w:hAnsi="Tahoma" w:cs="Tahoma"/>
          <w:color w:val="666666"/>
          <w:sz w:val="20"/>
          <w:szCs w:val="20"/>
        </w:rPr>
        <w:t>,</w:t>
      </w:r>
      <w:r w:rsidR="004B0A71">
        <w:rPr>
          <w:rFonts w:ascii="Tahoma" w:hAnsi="Tahoma" w:cs="Tahoma"/>
          <w:color w:val="666666"/>
          <w:sz w:val="20"/>
          <w:szCs w:val="20"/>
        </w:rPr>
        <w:t xml:space="preserve"> по сравнению с 4 кварталом </w:t>
      </w:r>
      <w:r w:rsidR="005A2E42">
        <w:rPr>
          <w:rFonts w:ascii="Tahoma" w:hAnsi="Tahoma" w:cs="Tahoma"/>
          <w:color w:val="666666"/>
          <w:sz w:val="20"/>
          <w:szCs w:val="20"/>
        </w:rPr>
        <w:t>2016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>)</w:t>
      </w:r>
      <w:r w:rsidR="004778A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>был</w:t>
      </w:r>
      <w:r w:rsidRPr="00B25D7E">
        <w:rPr>
          <w:rFonts w:ascii="Tahoma" w:hAnsi="Tahoma" w:cs="Tahoma"/>
          <w:color w:val="666666"/>
          <w:sz w:val="20"/>
          <w:szCs w:val="20"/>
        </w:rPr>
        <w:t>а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обусловлен</w:t>
      </w:r>
      <w:r w:rsidRPr="00B25D7E">
        <w:rPr>
          <w:rFonts w:ascii="Tahoma" w:hAnsi="Tahoma" w:cs="Tahoma"/>
          <w:color w:val="666666"/>
          <w:sz w:val="20"/>
          <w:szCs w:val="20"/>
        </w:rPr>
        <w:t>а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778A1">
        <w:rPr>
          <w:rFonts w:ascii="Tahoma" w:hAnsi="Tahoma" w:cs="Tahoma"/>
          <w:color w:val="666666"/>
          <w:sz w:val="20"/>
          <w:szCs w:val="20"/>
        </w:rPr>
        <w:t xml:space="preserve">увеличением объемов кредитования. </w:t>
      </w:r>
    </w:p>
    <w:p w:rsidR="004778A1" w:rsidRDefault="008954EA" w:rsidP="009F18A7">
      <w:pPr>
        <w:pStyle w:val="a6"/>
        <w:numPr>
          <w:ilvl w:val="0"/>
          <w:numId w:val="14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color w:val="666666"/>
          <w:sz w:val="20"/>
          <w:szCs w:val="20"/>
        </w:rPr>
        <w:t>Процентные расходы</w:t>
      </w:r>
      <w:r w:rsidR="00923D96" w:rsidRPr="00B25D7E">
        <w:rPr>
          <w:rFonts w:ascii="Tahoma" w:hAnsi="Tahoma" w:cs="Tahoma"/>
          <w:color w:val="666666"/>
          <w:sz w:val="20"/>
          <w:szCs w:val="20"/>
        </w:rPr>
        <w:t>, включая расходы на страхование вкладов,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64278">
        <w:rPr>
          <w:rFonts w:ascii="Tahoma" w:hAnsi="Tahoma" w:cs="Tahoma"/>
          <w:color w:val="666666"/>
          <w:sz w:val="20"/>
          <w:szCs w:val="20"/>
        </w:rPr>
        <w:t xml:space="preserve">сократились </w:t>
      </w:r>
      <w:r w:rsidRPr="00B25D7E">
        <w:rPr>
          <w:rFonts w:ascii="Tahoma" w:hAnsi="Tahoma" w:cs="Tahoma"/>
          <w:color w:val="666666"/>
          <w:sz w:val="20"/>
          <w:szCs w:val="20"/>
        </w:rPr>
        <w:t>на</w:t>
      </w:r>
      <w:r w:rsidR="00131B6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778A1">
        <w:rPr>
          <w:rFonts w:ascii="Tahoma" w:hAnsi="Tahoma" w:cs="Tahoma"/>
          <w:color w:val="666666"/>
          <w:sz w:val="20"/>
          <w:szCs w:val="20"/>
        </w:rPr>
        <w:t>1</w:t>
      </w:r>
      <w:r w:rsidR="009A3B6D">
        <w:rPr>
          <w:rFonts w:ascii="Tahoma" w:hAnsi="Tahoma" w:cs="Tahoma"/>
          <w:color w:val="666666"/>
          <w:sz w:val="20"/>
          <w:szCs w:val="20"/>
        </w:rPr>
        <w:t>0,</w:t>
      </w:r>
      <w:r w:rsidR="004778A1">
        <w:rPr>
          <w:rFonts w:ascii="Tahoma" w:hAnsi="Tahoma" w:cs="Tahoma"/>
          <w:color w:val="666666"/>
          <w:sz w:val="20"/>
          <w:szCs w:val="20"/>
        </w:rPr>
        <w:t>3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4B0A71">
        <w:rPr>
          <w:rFonts w:ascii="Tahoma" w:hAnsi="Tahoma" w:cs="Tahoma"/>
          <w:color w:val="666666"/>
          <w:sz w:val="20"/>
          <w:szCs w:val="20"/>
        </w:rPr>
        <w:t>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квартале </w:t>
      </w:r>
      <w:r w:rsidR="00CB4672">
        <w:rPr>
          <w:rFonts w:ascii="Tahoma" w:hAnsi="Tahoma" w:cs="Tahoma"/>
          <w:color w:val="666666"/>
          <w:sz w:val="20"/>
          <w:szCs w:val="20"/>
        </w:rPr>
        <w:t xml:space="preserve">2017 </w:t>
      </w:r>
      <w:r w:rsidR="004778A1">
        <w:rPr>
          <w:rFonts w:ascii="Tahoma" w:hAnsi="Tahoma" w:cs="Tahoma"/>
          <w:color w:val="666666"/>
          <w:sz w:val="20"/>
          <w:szCs w:val="20"/>
        </w:rPr>
        <w:t xml:space="preserve">по сравнению с 4 кварталом 2016, 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составив </w:t>
      </w:r>
      <w:r w:rsidR="009A3B6D">
        <w:rPr>
          <w:rFonts w:ascii="Tahoma" w:hAnsi="Tahoma" w:cs="Tahoma"/>
          <w:color w:val="666666"/>
          <w:sz w:val="20"/>
          <w:szCs w:val="20"/>
        </w:rPr>
        <w:t>2</w:t>
      </w:r>
      <w:r w:rsidR="004778A1">
        <w:rPr>
          <w:rFonts w:ascii="Tahoma" w:hAnsi="Tahoma" w:cs="Tahoma"/>
          <w:color w:val="666666"/>
          <w:sz w:val="20"/>
          <w:szCs w:val="20"/>
        </w:rPr>
        <w:t>15</w:t>
      </w:r>
      <w:r w:rsidR="009A3B6D">
        <w:rPr>
          <w:rFonts w:ascii="Tahoma" w:hAnsi="Tahoma" w:cs="Tahoma"/>
          <w:color w:val="666666"/>
          <w:sz w:val="20"/>
          <w:szCs w:val="20"/>
        </w:rPr>
        <w:t>,</w:t>
      </w:r>
      <w:r w:rsidR="004778A1">
        <w:rPr>
          <w:rFonts w:ascii="Tahoma" w:hAnsi="Tahoma" w:cs="Tahoma"/>
          <w:color w:val="666666"/>
          <w:sz w:val="20"/>
          <w:szCs w:val="20"/>
        </w:rPr>
        <w:t>4</w:t>
      </w:r>
      <w:r w:rsidR="00170003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44385" w:rsidRPr="00B25D7E">
        <w:rPr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744385" w:rsidRPr="00B25D7E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9A3B6D" w:rsidRDefault="004778A1" w:rsidP="005B3711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5B3711">
        <w:rPr>
          <w:rFonts w:ascii="Tahoma" w:hAnsi="Tahoma" w:cs="Tahoma"/>
          <w:b/>
          <w:color w:val="666666"/>
          <w:sz w:val="20"/>
          <w:szCs w:val="20"/>
        </w:rPr>
        <w:t>Доходность работающих активов</w:t>
      </w:r>
      <w:r>
        <w:rPr>
          <w:rFonts w:ascii="Tahoma" w:hAnsi="Tahoma" w:cs="Tahoma"/>
          <w:color w:val="666666"/>
          <w:sz w:val="20"/>
          <w:szCs w:val="20"/>
        </w:rPr>
        <w:t xml:space="preserve"> за 4 квартал 2017 года снизилась на 10 базисных пунктов до 9,6% </w:t>
      </w:r>
      <w:r w:rsidR="008954EA" w:rsidRPr="004778A1">
        <w:rPr>
          <w:rFonts w:ascii="Tahoma" w:hAnsi="Tahoma" w:cs="Tahoma"/>
          <w:color w:val="666666"/>
          <w:sz w:val="20"/>
          <w:szCs w:val="20"/>
        </w:rPr>
        <w:t xml:space="preserve">относительно </w:t>
      </w:r>
      <w:r>
        <w:rPr>
          <w:rFonts w:ascii="Tahoma" w:hAnsi="Tahoma" w:cs="Tahoma"/>
          <w:color w:val="666666"/>
          <w:sz w:val="20"/>
          <w:szCs w:val="20"/>
        </w:rPr>
        <w:t xml:space="preserve">3 квартала </w:t>
      </w:r>
      <w:r w:rsidR="00933C06" w:rsidRPr="004778A1">
        <w:rPr>
          <w:rFonts w:ascii="Tahoma" w:hAnsi="Tahoma" w:cs="Tahoma"/>
          <w:color w:val="666666"/>
          <w:sz w:val="20"/>
          <w:szCs w:val="20"/>
        </w:rPr>
        <w:t>201</w:t>
      </w:r>
      <w:r>
        <w:rPr>
          <w:rFonts w:ascii="Tahoma" w:hAnsi="Tahoma" w:cs="Tahoma"/>
          <w:color w:val="666666"/>
          <w:sz w:val="20"/>
          <w:szCs w:val="20"/>
        </w:rPr>
        <w:t>7</w:t>
      </w:r>
      <w:r w:rsidR="003F6FB1" w:rsidRPr="004778A1">
        <w:rPr>
          <w:rFonts w:ascii="Tahoma" w:hAnsi="Tahoma" w:cs="Tahoma"/>
          <w:color w:val="666666"/>
          <w:sz w:val="20"/>
          <w:szCs w:val="20"/>
        </w:rPr>
        <w:t xml:space="preserve"> года</w:t>
      </w:r>
      <w:r>
        <w:rPr>
          <w:rFonts w:ascii="Tahoma" w:hAnsi="Tahoma" w:cs="Tahoma"/>
          <w:color w:val="666666"/>
          <w:sz w:val="20"/>
          <w:szCs w:val="20"/>
        </w:rPr>
        <w:t xml:space="preserve">, в то время как доходность работающих активов </w:t>
      </w:r>
      <w:r w:rsidR="005B7A8F">
        <w:rPr>
          <w:rFonts w:ascii="Tahoma" w:hAnsi="Tahoma" w:cs="Tahoma"/>
          <w:color w:val="666666"/>
          <w:sz w:val="20"/>
          <w:szCs w:val="20"/>
        </w:rPr>
        <w:t xml:space="preserve">за 2017 год </w:t>
      </w:r>
      <w:r w:rsidR="00CB4672">
        <w:rPr>
          <w:rFonts w:ascii="Tahoma" w:hAnsi="Tahoma" w:cs="Tahoma"/>
          <w:color w:val="666666"/>
          <w:sz w:val="20"/>
          <w:szCs w:val="20"/>
        </w:rPr>
        <w:t xml:space="preserve">составила </w:t>
      </w:r>
      <w:r>
        <w:rPr>
          <w:rFonts w:ascii="Tahoma" w:hAnsi="Tahoma" w:cs="Tahoma"/>
          <w:color w:val="666666"/>
          <w:sz w:val="20"/>
          <w:szCs w:val="20"/>
        </w:rPr>
        <w:t>9,7%</w:t>
      </w:r>
      <w:r w:rsidR="00CB4672">
        <w:rPr>
          <w:rFonts w:ascii="Tahoma" w:hAnsi="Tahoma" w:cs="Tahoma"/>
          <w:color w:val="666666"/>
          <w:sz w:val="20"/>
          <w:szCs w:val="20"/>
        </w:rPr>
        <w:t xml:space="preserve">, снизившись на 30 б.п. </w:t>
      </w:r>
      <w:r>
        <w:rPr>
          <w:rFonts w:ascii="Tahoma" w:hAnsi="Tahoma" w:cs="Tahoma"/>
          <w:color w:val="666666"/>
          <w:sz w:val="20"/>
          <w:szCs w:val="20"/>
        </w:rPr>
        <w:t xml:space="preserve">по </w:t>
      </w:r>
      <w:r w:rsidR="005D553D">
        <w:rPr>
          <w:rFonts w:ascii="Tahoma" w:hAnsi="Tahoma" w:cs="Tahoma"/>
          <w:color w:val="666666"/>
          <w:sz w:val="20"/>
          <w:szCs w:val="20"/>
        </w:rPr>
        <w:t>сравнению с 2016</w:t>
      </w:r>
      <w:r w:rsidR="00CB4672">
        <w:rPr>
          <w:rFonts w:ascii="Tahoma" w:hAnsi="Tahoma" w:cs="Tahoma"/>
          <w:color w:val="666666"/>
          <w:sz w:val="20"/>
          <w:szCs w:val="20"/>
        </w:rPr>
        <w:t xml:space="preserve"> годом</w:t>
      </w:r>
      <w:r w:rsidR="005D553D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13044D">
        <w:rPr>
          <w:rFonts w:ascii="Tahoma" w:hAnsi="Tahoma" w:cs="Tahoma"/>
          <w:color w:val="666666"/>
          <w:sz w:val="20"/>
          <w:szCs w:val="20"/>
        </w:rPr>
        <w:t>что связано</w:t>
      </w:r>
      <w:r w:rsidR="00CB4672">
        <w:rPr>
          <w:rFonts w:ascii="Tahoma" w:hAnsi="Tahoma" w:cs="Tahoma"/>
          <w:color w:val="666666"/>
          <w:sz w:val="20"/>
          <w:szCs w:val="20"/>
        </w:rPr>
        <w:t>,</w:t>
      </w:r>
      <w:r w:rsidR="0013044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D553D">
        <w:rPr>
          <w:rFonts w:ascii="Tahoma" w:hAnsi="Tahoma" w:cs="Tahoma"/>
          <w:color w:val="666666"/>
          <w:sz w:val="20"/>
          <w:szCs w:val="20"/>
        </w:rPr>
        <w:t>в основном</w:t>
      </w:r>
      <w:r w:rsidR="00CB4672">
        <w:rPr>
          <w:rFonts w:ascii="Tahoma" w:hAnsi="Tahoma" w:cs="Tahoma"/>
          <w:color w:val="666666"/>
          <w:sz w:val="20"/>
          <w:szCs w:val="20"/>
        </w:rPr>
        <w:t>,</w:t>
      </w:r>
      <w:r w:rsidR="005D553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13044D">
        <w:rPr>
          <w:rFonts w:ascii="Tahoma" w:hAnsi="Tahoma" w:cs="Tahoma"/>
          <w:color w:val="666666"/>
          <w:sz w:val="20"/>
          <w:szCs w:val="20"/>
        </w:rPr>
        <w:t xml:space="preserve">со </w:t>
      </w:r>
      <w:r w:rsidR="005D553D">
        <w:rPr>
          <w:rFonts w:ascii="Tahoma" w:hAnsi="Tahoma" w:cs="Tahoma"/>
          <w:color w:val="666666"/>
          <w:sz w:val="20"/>
          <w:szCs w:val="20"/>
        </w:rPr>
        <w:t>снижени</w:t>
      </w:r>
      <w:r w:rsidR="0013044D">
        <w:rPr>
          <w:rFonts w:ascii="Tahoma" w:hAnsi="Tahoma" w:cs="Tahoma"/>
          <w:color w:val="666666"/>
          <w:sz w:val="20"/>
          <w:szCs w:val="20"/>
        </w:rPr>
        <w:t>ем</w:t>
      </w:r>
      <w:r w:rsidR="005D553D">
        <w:rPr>
          <w:rFonts w:ascii="Tahoma" w:hAnsi="Tahoma" w:cs="Tahoma"/>
          <w:color w:val="666666"/>
          <w:sz w:val="20"/>
          <w:szCs w:val="20"/>
        </w:rPr>
        <w:t xml:space="preserve"> доходности корпоративных кредитов</w:t>
      </w:r>
      <w:r w:rsidR="0081022A">
        <w:rPr>
          <w:rFonts w:ascii="Tahoma" w:hAnsi="Tahoma" w:cs="Tahoma"/>
          <w:color w:val="666666"/>
          <w:sz w:val="20"/>
          <w:szCs w:val="20"/>
        </w:rPr>
        <w:t xml:space="preserve"> на 70 б.п. за год до </w:t>
      </w:r>
      <w:r w:rsidR="005B3711">
        <w:rPr>
          <w:rFonts w:ascii="Tahoma" w:hAnsi="Tahoma" w:cs="Tahoma"/>
          <w:color w:val="666666"/>
          <w:sz w:val="20"/>
          <w:szCs w:val="20"/>
        </w:rPr>
        <w:t xml:space="preserve">9,1% (или на 20 б.п. в 4 квартале 2017 по сравнению с 3 кварталом 2017). </w:t>
      </w:r>
    </w:p>
    <w:p w:rsidR="009A3B6D" w:rsidRPr="0013044D" w:rsidRDefault="0013044D" w:rsidP="0013044D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5B3711">
        <w:rPr>
          <w:rFonts w:ascii="Tahoma" w:hAnsi="Tahoma" w:cs="Tahoma"/>
          <w:b/>
          <w:color w:val="666666"/>
          <w:sz w:val="20"/>
          <w:szCs w:val="20"/>
        </w:rPr>
        <w:t>С</w:t>
      </w:r>
      <w:r w:rsidR="009A3B6D" w:rsidRPr="005B3711">
        <w:rPr>
          <w:rFonts w:ascii="Tahoma" w:hAnsi="Tahoma" w:cs="Tahoma"/>
          <w:b/>
          <w:color w:val="666666"/>
          <w:sz w:val="20"/>
          <w:szCs w:val="20"/>
        </w:rPr>
        <w:t>тоимость пассивов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снизилась на 20</w:t>
      </w:r>
      <w:r w:rsidR="00E96A92">
        <w:rPr>
          <w:rFonts w:ascii="Tahoma" w:hAnsi="Tahoma" w:cs="Tahoma"/>
          <w:color w:val="666666"/>
          <w:sz w:val="20"/>
          <w:szCs w:val="20"/>
        </w:rPr>
        <w:t xml:space="preserve"> базисных пунктов за 4 квартал</w:t>
      </w:r>
      <w:r>
        <w:rPr>
          <w:rFonts w:ascii="Tahoma" w:hAnsi="Tahoma" w:cs="Tahoma"/>
          <w:color w:val="666666"/>
          <w:sz w:val="20"/>
          <w:szCs w:val="20"/>
        </w:rPr>
        <w:t xml:space="preserve"> 2017 года до 3,9% по сравнению с 3 кварталом 2017 года, в основном за счет срочных корпоративных депозитов, стоимость которых снизилась на 50 б.п. до 3,4%. За 2017 год стоимость пассивов снизилась на 60 базисных пунктов до 4</w:t>
      </w:r>
      <w:r w:rsidR="00E96A92">
        <w:rPr>
          <w:rFonts w:ascii="Tahoma" w:hAnsi="Tahoma" w:cs="Tahoma"/>
          <w:color w:val="666666"/>
          <w:sz w:val="20"/>
          <w:szCs w:val="20"/>
        </w:rPr>
        <w:t xml:space="preserve">,1%, в сравнении с 2016 годом </w:t>
      </w:r>
      <w:r>
        <w:rPr>
          <w:rFonts w:ascii="Tahoma" w:hAnsi="Tahoma" w:cs="Tahoma"/>
          <w:color w:val="666666"/>
          <w:sz w:val="20"/>
          <w:szCs w:val="20"/>
        </w:rPr>
        <w:t xml:space="preserve">за счет снижения стоимости корпоративных и розничных </w:t>
      </w:r>
      <w:r w:rsidR="00E96A92">
        <w:rPr>
          <w:rFonts w:ascii="Tahoma" w:hAnsi="Tahoma" w:cs="Tahoma"/>
          <w:color w:val="666666"/>
          <w:sz w:val="20"/>
          <w:szCs w:val="20"/>
        </w:rPr>
        <w:t xml:space="preserve">депозитов </w:t>
      </w:r>
      <w:r>
        <w:rPr>
          <w:rFonts w:ascii="Tahoma" w:hAnsi="Tahoma" w:cs="Tahoma"/>
          <w:color w:val="666666"/>
          <w:sz w:val="20"/>
          <w:szCs w:val="20"/>
        </w:rPr>
        <w:t xml:space="preserve">(-60 </w:t>
      </w:r>
      <w:r w:rsidR="00E96A92">
        <w:rPr>
          <w:rFonts w:ascii="Tahoma" w:hAnsi="Tahoma" w:cs="Tahoma"/>
          <w:color w:val="666666"/>
          <w:sz w:val="20"/>
          <w:szCs w:val="20"/>
        </w:rPr>
        <w:t>б</w:t>
      </w:r>
      <w:r>
        <w:rPr>
          <w:rFonts w:ascii="Tahoma" w:hAnsi="Tahoma" w:cs="Tahoma"/>
          <w:color w:val="666666"/>
          <w:sz w:val="20"/>
          <w:szCs w:val="20"/>
        </w:rPr>
        <w:t xml:space="preserve">.п. 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>до 3</w:t>
      </w:r>
      <w:r>
        <w:rPr>
          <w:rFonts w:ascii="Tahoma" w:hAnsi="Tahoma" w:cs="Tahoma"/>
          <w:color w:val="666666"/>
          <w:sz w:val="20"/>
          <w:szCs w:val="20"/>
        </w:rPr>
        <w:t>,7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 xml:space="preserve">% и </w:t>
      </w:r>
      <w:r>
        <w:rPr>
          <w:rFonts w:ascii="Tahoma" w:hAnsi="Tahoma" w:cs="Tahoma"/>
          <w:color w:val="666666"/>
          <w:sz w:val="20"/>
          <w:szCs w:val="20"/>
        </w:rPr>
        <w:t>-8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>0 б</w:t>
      </w:r>
      <w:r w:rsidR="00131B6C" w:rsidRPr="0013044D">
        <w:rPr>
          <w:rFonts w:ascii="Tahoma" w:hAnsi="Tahoma" w:cs="Tahoma"/>
          <w:color w:val="666666"/>
          <w:sz w:val="20"/>
          <w:szCs w:val="20"/>
        </w:rPr>
        <w:t>.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>п</w:t>
      </w:r>
      <w:r w:rsidR="00131B6C" w:rsidRPr="0013044D">
        <w:rPr>
          <w:rFonts w:ascii="Tahoma" w:hAnsi="Tahoma" w:cs="Tahoma"/>
          <w:color w:val="666666"/>
          <w:sz w:val="20"/>
          <w:szCs w:val="20"/>
        </w:rPr>
        <w:t>.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до 5,2%</w:t>
      </w:r>
      <w:r w:rsidR="009A3B6D" w:rsidRPr="0013044D">
        <w:rPr>
          <w:rFonts w:ascii="Tahoma" w:hAnsi="Tahoma" w:cs="Tahoma"/>
          <w:color w:val="666666"/>
          <w:sz w:val="20"/>
          <w:szCs w:val="20"/>
        </w:rPr>
        <w:t>, соответственно</w:t>
      </w:r>
      <w:r>
        <w:rPr>
          <w:rFonts w:ascii="Tahoma" w:hAnsi="Tahoma" w:cs="Tahoma"/>
          <w:color w:val="666666"/>
          <w:sz w:val="20"/>
          <w:szCs w:val="20"/>
        </w:rPr>
        <w:t>)</w:t>
      </w:r>
      <w:r w:rsidR="00131B6C" w:rsidRPr="0013044D">
        <w:rPr>
          <w:rFonts w:ascii="Tahoma" w:hAnsi="Tahoma" w:cs="Tahoma"/>
          <w:color w:val="666666"/>
          <w:sz w:val="20"/>
          <w:szCs w:val="20"/>
        </w:rPr>
        <w:t>.</w:t>
      </w:r>
    </w:p>
    <w:p w:rsidR="00A277C7" w:rsidRPr="00A35C9D" w:rsidRDefault="00A277C7" w:rsidP="00A35C9D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Чистый комиссионный доход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Группы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</w:t>
      </w:r>
      <w:r w:rsidR="00FE658E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201</w:t>
      </w:r>
      <w:r w:rsidR="0013044D">
        <w:rPr>
          <w:rStyle w:val="a3"/>
          <w:rFonts w:ascii="Tahoma" w:hAnsi="Tahoma" w:cs="Tahoma"/>
          <w:b w:val="0"/>
          <w:color w:val="666666"/>
          <w:sz w:val="20"/>
          <w:szCs w:val="20"/>
        </w:rPr>
        <w:t>7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составил </w:t>
      </w:r>
      <w:r w:rsidR="0013044D" w:rsidRPr="0013044D">
        <w:rPr>
          <w:rStyle w:val="a3"/>
          <w:rFonts w:ascii="Tahoma" w:hAnsi="Tahoma" w:cs="Tahoma"/>
          <w:color w:val="666666"/>
          <w:sz w:val="20"/>
          <w:szCs w:val="20"/>
        </w:rPr>
        <w:t>118</w:t>
      </w:r>
      <w:r w:rsidR="00713925" w:rsidRPr="0013044D">
        <w:rPr>
          <w:rStyle w:val="a3"/>
          <w:rFonts w:ascii="Tahoma" w:hAnsi="Tahoma" w:cs="Tahoma"/>
          <w:color w:val="666666"/>
          <w:sz w:val="20"/>
          <w:szCs w:val="20"/>
        </w:rPr>
        <w:t>,</w:t>
      </w:r>
      <w:r w:rsidR="0013044D">
        <w:rPr>
          <w:rStyle w:val="a3"/>
          <w:rFonts w:ascii="Tahoma" w:hAnsi="Tahoma" w:cs="Tahoma"/>
          <w:color w:val="666666"/>
          <w:sz w:val="20"/>
          <w:szCs w:val="20"/>
        </w:rPr>
        <w:t>0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млрд</w:t>
      </w:r>
      <w:r w:rsidR="00131B6C" w:rsidRP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131B6C" w:rsidRP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="006A5880"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, 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увеличившись на </w:t>
      </w:r>
      <w:r w:rsidR="0013044D">
        <w:rPr>
          <w:rStyle w:val="a3"/>
          <w:rFonts w:ascii="Tahoma" w:hAnsi="Tahoma" w:cs="Tahoma"/>
          <w:b w:val="0"/>
          <w:color w:val="666666"/>
          <w:sz w:val="20"/>
          <w:szCs w:val="20"/>
        </w:rPr>
        <w:t>21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,</w:t>
      </w:r>
      <w:r w:rsidR="0013044D">
        <w:rPr>
          <w:rStyle w:val="a3"/>
          <w:rFonts w:ascii="Tahoma" w:hAnsi="Tahoma" w:cs="Tahoma"/>
          <w:b w:val="0"/>
          <w:color w:val="666666"/>
          <w:sz w:val="20"/>
          <w:szCs w:val="20"/>
        </w:rPr>
        <w:t>1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% 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по сравнению с 4 кварталом </w:t>
      </w:r>
      <w:r w:rsidR="005A2E42">
        <w:rPr>
          <w:rStyle w:val="a3"/>
          <w:rFonts w:ascii="Tahoma" w:hAnsi="Tahoma" w:cs="Tahoma"/>
          <w:b w:val="0"/>
          <w:color w:val="666666"/>
          <w:sz w:val="20"/>
          <w:szCs w:val="20"/>
        </w:rPr>
        <w:t>2016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года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305E86">
        <w:rPr>
          <w:rFonts w:ascii="Tahoma" w:hAnsi="Tahoma" w:cs="Tahoma"/>
          <w:color w:val="666666"/>
          <w:sz w:val="20"/>
          <w:szCs w:val="20"/>
        </w:rPr>
        <w:t>Основным</w:t>
      </w:r>
      <w:r w:rsidR="00305E86" w:rsidRPr="00826F26">
        <w:rPr>
          <w:rFonts w:ascii="Tahoma" w:hAnsi="Tahoma" w:cs="Tahoma"/>
          <w:color w:val="666666"/>
          <w:sz w:val="20"/>
          <w:szCs w:val="20"/>
        </w:rPr>
        <w:t xml:space="preserve"> фактор</w:t>
      </w:r>
      <w:r w:rsidR="00305E86">
        <w:rPr>
          <w:rFonts w:ascii="Tahoma" w:hAnsi="Tahoma" w:cs="Tahoma"/>
          <w:color w:val="666666"/>
          <w:sz w:val="20"/>
          <w:szCs w:val="20"/>
        </w:rPr>
        <w:t>ом роста были д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оходы от операций с банковскими картами</w:t>
      </w:r>
      <w:r w:rsidR="0013044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305E86">
        <w:rPr>
          <w:rStyle w:val="a3"/>
          <w:rFonts w:ascii="Tahoma" w:hAnsi="Tahoma" w:cs="Tahoma"/>
          <w:b w:val="0"/>
          <w:color w:val="666666"/>
          <w:sz w:val="20"/>
          <w:szCs w:val="20"/>
        </w:rPr>
        <w:t>(</w:t>
      </w:r>
      <w:r w:rsidR="0013044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</w:t>
      </w:r>
      <w:r w:rsidR="00305E86">
        <w:rPr>
          <w:rStyle w:val="a3"/>
          <w:rFonts w:ascii="Tahoma" w:hAnsi="Tahoma" w:cs="Tahoma"/>
          <w:b w:val="0"/>
          <w:color w:val="666666"/>
          <w:sz w:val="20"/>
          <w:szCs w:val="20"/>
        </w:rPr>
        <w:t>вычетом соответствующих расходов), которые в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ыросли на </w:t>
      </w:r>
      <w:r w:rsidR="00305E86">
        <w:rPr>
          <w:rStyle w:val="a3"/>
          <w:rFonts w:ascii="Tahoma" w:hAnsi="Tahoma" w:cs="Tahoma"/>
          <w:b w:val="0"/>
          <w:color w:val="666666"/>
          <w:sz w:val="20"/>
          <w:szCs w:val="20"/>
        </w:rPr>
        <w:t>32,8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%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в 4 квартале 201</w:t>
      </w:r>
      <w:r w:rsidR="00305E86">
        <w:rPr>
          <w:rStyle w:val="a3"/>
          <w:rFonts w:ascii="Tahoma" w:hAnsi="Tahoma" w:cs="Tahoma"/>
          <w:b w:val="0"/>
          <w:color w:val="666666"/>
          <w:sz w:val="20"/>
          <w:szCs w:val="20"/>
        </w:rPr>
        <w:t>7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года по сравнению с 4 кварталом годом ранее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</w:p>
    <w:p w:rsidR="003A38A2" w:rsidRDefault="003A38A2" w:rsidP="003A38A2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6A5880">
        <w:rPr>
          <w:rStyle w:val="a3"/>
          <w:rFonts w:ascii="Tahoma" w:hAnsi="Tahoma" w:cs="Tahoma"/>
          <w:color w:val="666666"/>
          <w:sz w:val="20"/>
          <w:szCs w:val="20"/>
        </w:rPr>
        <w:t>Чи</w:t>
      </w:r>
      <w:r>
        <w:rPr>
          <w:rStyle w:val="a3"/>
          <w:rFonts w:ascii="Tahoma" w:hAnsi="Tahoma" w:cs="Tahoma"/>
          <w:color w:val="666666"/>
          <w:sz w:val="20"/>
          <w:szCs w:val="20"/>
        </w:rPr>
        <w:t>стые расходы по созданию резерва под обесценение кредитного портфеля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за 4 квартал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201</w:t>
      </w:r>
      <w:r w:rsidR="00305E86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7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года 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составили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  <w:r w:rsidR="00305E86">
        <w:rPr>
          <w:rStyle w:val="a3"/>
          <w:rFonts w:ascii="Tahoma" w:hAnsi="Tahoma" w:cs="Tahoma"/>
          <w:bCs w:val="0"/>
          <w:color w:val="666666"/>
          <w:sz w:val="20"/>
          <w:szCs w:val="20"/>
        </w:rPr>
        <w:t>73</w:t>
      </w:r>
      <w:r w:rsidR="00713925" w:rsidRPr="00A35C9D">
        <w:rPr>
          <w:rStyle w:val="a3"/>
          <w:rFonts w:ascii="Tahoma" w:hAnsi="Tahoma" w:cs="Tahoma"/>
          <w:bCs w:val="0"/>
          <w:color w:val="666666"/>
          <w:sz w:val="20"/>
          <w:szCs w:val="20"/>
        </w:rPr>
        <w:t>,</w:t>
      </w:r>
      <w:r w:rsidR="00305E86">
        <w:rPr>
          <w:rStyle w:val="a3"/>
          <w:rFonts w:ascii="Tahoma" w:hAnsi="Tahoma" w:cs="Tahoma"/>
          <w:bCs w:val="0"/>
          <w:color w:val="666666"/>
          <w:sz w:val="20"/>
          <w:szCs w:val="20"/>
        </w:rPr>
        <w:t>2</w:t>
      </w: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 млрд</w:t>
      </w:r>
      <w:r w:rsid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="00305E86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в сравнении с 57,7 млрд. руб. 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за аналогичный период </w:t>
      </w:r>
      <w:r w:rsidR="005A2E42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2016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года, что соответствует стоимости кредитного риска в размере 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1</w:t>
      </w:r>
      <w:r w:rsidR="00305E86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49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базисных пунктов </w:t>
      </w:r>
      <w:r w:rsidR="00305E86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пр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отив </w:t>
      </w:r>
      <w:r w:rsidR="00305E86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122</w:t>
      </w:r>
      <w:r w:rsidR="001F40A9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базисных пунктов годом ранее</w:t>
      </w:r>
      <w:r w:rsidR="001F40A9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</w:p>
    <w:p w:rsidR="0081022A" w:rsidRPr="0081022A" w:rsidRDefault="00976617" w:rsidP="00305E86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 w:rsidRPr="00976617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Влияние на стоимость кредитного риска в 4 квартале 2017 оказали изменение моделей вероятности дефолта (PD) и оценки потерь при дефолте (LGD) по сегменту корпоративного кредитования резидентов в результате накопления дополнительных данных по возвратам по дефолтным кредитам и внедрение модели вероятности дефолта (PD) по сегментам прое</w:t>
      </w:r>
      <w:r w:rsidR="005110BB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ктного финансирования и компаниям</w:t>
      </w:r>
      <w:r w:rsidRPr="00976617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-нерезидент</w:t>
      </w:r>
      <w:r w:rsidR="005110BB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ам</w:t>
      </w:r>
      <w:r w:rsidRPr="00976617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. Совокупный эффект от изменения методологии в 4 квартале 2017 года составил 32,3 млрд. руб. дополнительных резервов</w:t>
      </w:r>
      <w:r w:rsidR="00972F7B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81022A" w:rsidRPr="0081022A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</w:p>
    <w:p w:rsidR="0081022A" w:rsidRDefault="00AF1448" w:rsidP="0081022A">
      <w:pPr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A38A2">
        <w:rPr>
          <w:rFonts w:ascii="Tahoma" w:hAnsi="Tahoma" w:cs="Tahoma"/>
          <w:b/>
          <w:color w:val="666666"/>
          <w:sz w:val="20"/>
          <w:szCs w:val="20"/>
        </w:rPr>
        <w:t>Операционные расходы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Группы в </w:t>
      </w:r>
      <w:r w:rsidR="003A38A2">
        <w:rPr>
          <w:rFonts w:ascii="Tahoma" w:hAnsi="Tahoma" w:cs="Tahoma"/>
          <w:color w:val="666666"/>
          <w:sz w:val="20"/>
          <w:szCs w:val="20"/>
        </w:rPr>
        <w:t>4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E11D13">
        <w:rPr>
          <w:rFonts w:ascii="Tahoma" w:hAnsi="Tahoma" w:cs="Tahoma"/>
          <w:color w:val="666666"/>
          <w:sz w:val="20"/>
          <w:szCs w:val="20"/>
        </w:rPr>
        <w:t>7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года </w:t>
      </w:r>
      <w:r w:rsidR="0081022A">
        <w:rPr>
          <w:rFonts w:ascii="Tahoma" w:hAnsi="Tahoma" w:cs="Tahoma"/>
          <w:color w:val="666666"/>
          <w:sz w:val="20"/>
          <w:szCs w:val="20"/>
        </w:rPr>
        <w:t xml:space="preserve">составили 203,9 млрд. руб., </w:t>
      </w:r>
      <w:r w:rsidR="00713925">
        <w:rPr>
          <w:rFonts w:ascii="Tahoma" w:hAnsi="Tahoma" w:cs="Tahoma"/>
          <w:color w:val="666666"/>
          <w:sz w:val="20"/>
          <w:szCs w:val="20"/>
        </w:rPr>
        <w:t xml:space="preserve">увеличились </w:t>
      </w:r>
      <w:r w:rsidR="005B7A8F">
        <w:rPr>
          <w:rFonts w:ascii="Tahoma" w:hAnsi="Tahoma" w:cs="Tahoma"/>
          <w:color w:val="666666"/>
          <w:sz w:val="20"/>
          <w:szCs w:val="20"/>
        </w:rPr>
        <w:t xml:space="preserve">незначительно - </w:t>
      </w:r>
      <w:r w:rsidR="0081022A">
        <w:rPr>
          <w:rFonts w:ascii="Tahoma" w:hAnsi="Tahoma" w:cs="Tahoma"/>
          <w:color w:val="666666"/>
          <w:sz w:val="20"/>
          <w:szCs w:val="20"/>
        </w:rPr>
        <w:t>на 0</w:t>
      </w:r>
      <w:r w:rsidR="00713925">
        <w:rPr>
          <w:rFonts w:ascii="Tahoma" w:hAnsi="Tahoma" w:cs="Tahoma"/>
          <w:color w:val="666666"/>
          <w:sz w:val="20"/>
          <w:szCs w:val="20"/>
        </w:rPr>
        <w:t>,</w:t>
      </w:r>
      <w:r w:rsidR="0081022A">
        <w:rPr>
          <w:rFonts w:ascii="Tahoma" w:hAnsi="Tahoma" w:cs="Tahoma"/>
          <w:color w:val="666666"/>
          <w:sz w:val="20"/>
          <w:szCs w:val="20"/>
        </w:rPr>
        <w:t>9</w:t>
      </w:r>
      <w:r w:rsidR="00713925">
        <w:rPr>
          <w:rFonts w:ascii="Tahoma" w:hAnsi="Tahoma" w:cs="Tahoma"/>
          <w:color w:val="666666"/>
          <w:sz w:val="20"/>
          <w:szCs w:val="20"/>
        </w:rPr>
        <w:t>% относительно аналогичного периода прошлого года</w:t>
      </w:r>
      <w:r w:rsidR="0081022A">
        <w:rPr>
          <w:rFonts w:ascii="Tahoma" w:hAnsi="Tahoma" w:cs="Tahoma"/>
          <w:color w:val="666666"/>
          <w:sz w:val="20"/>
          <w:szCs w:val="20"/>
        </w:rPr>
        <w:t xml:space="preserve">, благодаря </w:t>
      </w:r>
      <w:r w:rsidR="001E1679">
        <w:rPr>
          <w:rFonts w:ascii="Tahoma" w:hAnsi="Tahoma" w:cs="Tahoma"/>
          <w:color w:val="666666"/>
          <w:sz w:val="20"/>
          <w:szCs w:val="20"/>
        </w:rPr>
        <w:t xml:space="preserve">оптимизации </w:t>
      </w:r>
      <w:r w:rsidR="0081022A">
        <w:rPr>
          <w:rFonts w:ascii="Tahoma" w:hAnsi="Tahoma" w:cs="Tahoma"/>
          <w:color w:val="666666"/>
          <w:sz w:val="20"/>
          <w:szCs w:val="20"/>
        </w:rPr>
        <w:t>расходов</w:t>
      </w:r>
      <w:r w:rsidR="0081022A"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1022A">
        <w:rPr>
          <w:rFonts w:ascii="Tahoma" w:hAnsi="Tahoma" w:cs="Tahoma"/>
          <w:color w:val="666666"/>
          <w:sz w:val="20"/>
          <w:szCs w:val="20"/>
        </w:rPr>
        <w:t>по</w:t>
      </w:r>
      <w:r w:rsidR="0081022A"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1022A">
        <w:rPr>
          <w:rFonts w:ascii="Tahoma" w:hAnsi="Tahoma" w:cs="Tahoma"/>
          <w:color w:val="666666"/>
          <w:sz w:val="20"/>
          <w:szCs w:val="20"/>
        </w:rPr>
        <w:t>большинству</w:t>
      </w:r>
      <w:r w:rsidR="0081022A" w:rsidRPr="00F45DB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1022A">
        <w:rPr>
          <w:rFonts w:ascii="Tahoma" w:hAnsi="Tahoma" w:cs="Tahoma"/>
          <w:color w:val="666666"/>
          <w:sz w:val="20"/>
          <w:szCs w:val="20"/>
        </w:rPr>
        <w:t>основных статей.</w:t>
      </w:r>
      <w:r w:rsidR="0081022A" w:rsidRPr="00453204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81022A" w:rsidRDefault="0081022A" w:rsidP="0081022A">
      <w:pPr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976617" w:rsidRPr="00976617" w:rsidRDefault="00976617" w:rsidP="00976617">
      <w:pPr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976617">
        <w:rPr>
          <w:rFonts w:ascii="Tahoma" w:hAnsi="Tahoma" w:cs="Tahoma"/>
          <w:color w:val="666666"/>
          <w:sz w:val="20"/>
          <w:szCs w:val="20"/>
        </w:rPr>
        <w:t xml:space="preserve">Как сообщалось ранее, с 1 </w:t>
      </w:r>
      <w:r w:rsidR="005110BB">
        <w:rPr>
          <w:rFonts w:ascii="Tahoma" w:hAnsi="Tahoma" w:cs="Tahoma"/>
          <w:color w:val="666666"/>
          <w:sz w:val="20"/>
          <w:szCs w:val="20"/>
        </w:rPr>
        <w:t>января</w:t>
      </w:r>
      <w:r w:rsidRPr="00976617">
        <w:rPr>
          <w:rFonts w:ascii="Tahoma" w:hAnsi="Tahoma" w:cs="Tahoma"/>
          <w:color w:val="666666"/>
          <w:sz w:val="20"/>
          <w:szCs w:val="20"/>
        </w:rPr>
        <w:t xml:space="preserve"> 2017 Группой уточнены сроки полезного использования по части основных средств для их соответствия фактическим срокам полезного использования, что привело к сокращению расходов на амортизацию, а расходы на СМС-оповещения классифицированы в комиссионные расходы по сравне</w:t>
      </w:r>
      <w:r w:rsidR="005110BB">
        <w:rPr>
          <w:rFonts w:ascii="Tahoma" w:hAnsi="Tahoma" w:cs="Tahoma"/>
          <w:color w:val="666666"/>
          <w:sz w:val="20"/>
          <w:szCs w:val="20"/>
        </w:rPr>
        <w:t>нию с отнесением к операционным расходам</w:t>
      </w:r>
      <w:r w:rsidRPr="00976617">
        <w:rPr>
          <w:rFonts w:ascii="Tahoma" w:hAnsi="Tahoma" w:cs="Tahoma"/>
          <w:color w:val="666666"/>
          <w:sz w:val="20"/>
          <w:szCs w:val="20"/>
        </w:rPr>
        <w:t xml:space="preserve"> в предыдущих отчетных периодах. Без учета указанных изменений операционные расходы за 2017 год показали бы </w:t>
      </w:r>
      <w:r w:rsidR="00747547">
        <w:rPr>
          <w:rFonts w:ascii="Tahoma" w:hAnsi="Tahoma" w:cs="Tahoma"/>
          <w:color w:val="666666"/>
          <w:sz w:val="20"/>
          <w:szCs w:val="20"/>
        </w:rPr>
        <w:t xml:space="preserve">темп </w:t>
      </w:r>
      <w:r w:rsidRPr="00976617">
        <w:rPr>
          <w:rFonts w:ascii="Tahoma" w:hAnsi="Tahoma" w:cs="Tahoma"/>
          <w:color w:val="666666"/>
          <w:sz w:val="20"/>
          <w:szCs w:val="20"/>
        </w:rPr>
        <w:t>рост</w:t>
      </w:r>
      <w:r w:rsidR="00EC3B40">
        <w:rPr>
          <w:rFonts w:ascii="Tahoma" w:hAnsi="Tahoma" w:cs="Tahoma"/>
          <w:color w:val="666666"/>
          <w:sz w:val="20"/>
          <w:szCs w:val="20"/>
        </w:rPr>
        <w:t>а</w:t>
      </w:r>
      <w:r w:rsidRPr="00976617">
        <w:rPr>
          <w:rFonts w:ascii="Tahoma" w:hAnsi="Tahoma" w:cs="Tahoma"/>
          <w:color w:val="666666"/>
          <w:sz w:val="20"/>
          <w:szCs w:val="20"/>
        </w:rPr>
        <w:t xml:space="preserve"> на уровне инфляции.</w:t>
      </w:r>
    </w:p>
    <w:p w:rsidR="0005605A" w:rsidRPr="0005605A" w:rsidRDefault="00976617" w:rsidP="00976617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color w:val="666666"/>
          <w:sz w:val="20"/>
          <w:szCs w:val="20"/>
        </w:rPr>
      </w:pPr>
      <w:r w:rsidRPr="0005605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5605A" w:rsidRPr="0005605A">
        <w:rPr>
          <w:rFonts w:ascii="Tahoma" w:hAnsi="Tahoma" w:cs="Tahoma"/>
          <w:color w:val="666666"/>
          <w:sz w:val="20"/>
          <w:szCs w:val="20"/>
        </w:rPr>
        <w:t>Отношение чистых комиссионны</w:t>
      </w:r>
      <w:r w:rsidR="0005605A">
        <w:rPr>
          <w:rFonts w:ascii="Tahoma" w:hAnsi="Tahoma" w:cs="Tahoma"/>
          <w:color w:val="666666"/>
          <w:sz w:val="20"/>
          <w:szCs w:val="20"/>
        </w:rPr>
        <w:t>х доходов к операционным расходам улучшилось до 58</w:t>
      </w:r>
      <w:r w:rsidR="00350E8F">
        <w:rPr>
          <w:rFonts w:ascii="Tahoma" w:hAnsi="Tahoma" w:cs="Tahoma"/>
          <w:color w:val="666666"/>
          <w:sz w:val="20"/>
          <w:szCs w:val="20"/>
        </w:rPr>
        <w:t>% в 4 квартале 2017 с 48% в 4 квартале 2016 года.</w:t>
      </w:r>
    </w:p>
    <w:p w:rsidR="009E36F0" w:rsidRDefault="00CD6F62" w:rsidP="00BD09A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Основные показатели отчета о финансовом положении</w:t>
      </w:r>
    </w:p>
    <w:tbl>
      <w:tblPr>
        <w:tblStyle w:val="-30"/>
        <w:tblW w:w="10542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362"/>
        <w:gridCol w:w="1386"/>
        <w:gridCol w:w="1449"/>
        <w:gridCol w:w="1417"/>
      </w:tblGrid>
      <w:tr w:rsidR="00937C48" w:rsidRPr="00E43683" w:rsidTr="0025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EE1543" w:rsidRDefault="00937C48" w:rsidP="00257CDD">
            <w:pPr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E1543">
              <w:rPr>
                <w:rStyle w:val="a3"/>
                <w:rFonts w:ascii="Tahoma" w:hAnsi="Tahoma" w:cs="Tahoma"/>
                <w:i/>
                <w:color w:val="666666"/>
                <w:sz w:val="18"/>
                <w:szCs w:val="18"/>
              </w:rPr>
              <w:t>В млрд. руб., если не указано иное</w:t>
            </w:r>
          </w:p>
        </w:tc>
        <w:tc>
          <w:tcPr>
            <w:tcW w:w="1134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31/12/17</w:t>
            </w:r>
          </w:p>
        </w:tc>
        <w:tc>
          <w:tcPr>
            <w:tcW w:w="1362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30/09/17</w:t>
            </w:r>
          </w:p>
        </w:tc>
        <w:tc>
          <w:tcPr>
            <w:tcW w:w="1386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31/12/16</w:t>
            </w:r>
          </w:p>
        </w:tc>
        <w:tc>
          <w:tcPr>
            <w:tcW w:w="1449" w:type="dxa"/>
          </w:tcPr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.1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7/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9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17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%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изм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17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/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16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%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изм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</w:t>
            </w:r>
          </w:p>
        </w:tc>
      </w:tr>
      <w:tr w:rsidR="00937C48" w:rsidRPr="00E43683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496323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всего (до вычета резерва под обесценение)</w:t>
            </w: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937C48" w:rsidRPr="002F3C26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2F3C26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891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2F3C26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498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664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6%</w:t>
            </w:r>
          </w:p>
        </w:tc>
      </w:tr>
      <w:tr w:rsidR="00937C48" w:rsidRPr="00E43683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2D5DF5" w:rsidRDefault="00937C48" w:rsidP="00257CDD">
            <w:pPr>
              <w:ind w:left="567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2D5DF5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Кредиты юридическим лицам </w:t>
            </w:r>
          </w:p>
        </w:tc>
        <w:tc>
          <w:tcPr>
            <w:tcW w:w="1134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174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074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</w:p>
        </w:tc>
        <w:tc>
          <w:tcPr>
            <w:tcW w:w="1386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633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449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7%</w:t>
            </w:r>
          </w:p>
        </w:tc>
        <w:tc>
          <w:tcPr>
            <w:tcW w:w="1417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</w:tr>
      <w:tr w:rsidR="00937C48" w:rsidRPr="00E43683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2D5DF5" w:rsidRDefault="00937C48" w:rsidP="00257CDD">
            <w:pPr>
              <w:ind w:left="567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2D5DF5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Кредиты физическим лицам </w:t>
            </w:r>
          </w:p>
        </w:tc>
        <w:tc>
          <w:tcPr>
            <w:tcW w:w="1134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highlight w:val="yellow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716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423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386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031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417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6%</w:t>
            </w:r>
          </w:p>
        </w:tc>
      </w:tr>
      <w:tr w:rsidR="00937C48" w:rsidRPr="00E43683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976411" w:rsidRDefault="00937C48" w:rsidP="00257CDD">
            <w:pPr>
              <w:ind w:left="284" w:hanging="142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Реструктурированные кредиты</w:t>
            </w:r>
          </w:p>
        </w:tc>
        <w:tc>
          <w:tcPr>
            <w:tcW w:w="1134" w:type="dxa"/>
          </w:tcPr>
          <w:p w:rsidR="00937C48" w:rsidRPr="002F3C26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2F3C26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,0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209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5%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-2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2%</w:t>
            </w:r>
          </w:p>
        </w:tc>
      </w:tr>
      <w:tr w:rsidR="00937C48" w:rsidRPr="00E43683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0D3DAE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Портфель ценных бумаг</w:t>
            </w:r>
          </w:p>
        </w:tc>
        <w:tc>
          <w:tcPr>
            <w:tcW w:w="1134" w:type="dxa"/>
          </w:tcPr>
          <w:p w:rsidR="00937C48" w:rsidRPr="00832F80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832F8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289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832F8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</w:p>
        </w:tc>
        <w:tc>
          <w:tcPr>
            <w:tcW w:w="1362" w:type="dxa"/>
          </w:tcPr>
          <w:p w:rsidR="00937C48" w:rsidRPr="00832F80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832F8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164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832F8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717,5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3,9%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21,0%</w:t>
            </w:r>
          </w:p>
        </w:tc>
      </w:tr>
      <w:tr w:rsidR="00937C48" w:rsidRPr="00E43683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0D3DAE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Всего активов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112,2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220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368,5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3,4%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6,9%</w:t>
            </w:r>
          </w:p>
        </w:tc>
      </w:tr>
      <w:tr w:rsidR="00937C48" w:rsidRPr="00E43683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5512D2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5512D2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Средства клиентов всего: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814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,2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161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684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</w:tr>
      <w:tr w:rsidR="00937C48" w:rsidRPr="00E43683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5512D2" w:rsidRDefault="00937C48" w:rsidP="00257CDD">
            <w:pPr>
              <w:ind w:left="708" w:hanging="141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5512D2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134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420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</w:p>
        </w:tc>
        <w:tc>
          <w:tcPr>
            <w:tcW w:w="1362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798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386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12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449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449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9%</w:t>
            </w:r>
          </w:p>
        </w:tc>
        <w:tc>
          <w:tcPr>
            <w:tcW w:w="1417" w:type="dxa"/>
          </w:tcPr>
          <w:p w:rsidR="00937C48" w:rsidRPr="003D5DDF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8%</w:t>
            </w:r>
          </w:p>
        </w:tc>
      </w:tr>
      <w:tr w:rsidR="00937C48" w:rsidRPr="00E43683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5512D2" w:rsidRDefault="00937C48" w:rsidP="00257CDD">
            <w:pPr>
              <w:ind w:left="567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</w:pPr>
            <w:r w:rsidRPr="005512D2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Средства корпоративных клиентов</w:t>
            </w:r>
          </w:p>
        </w:tc>
        <w:tc>
          <w:tcPr>
            <w:tcW w:w="1134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393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362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362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86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235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449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5%</w:t>
            </w:r>
          </w:p>
        </w:tc>
        <w:tc>
          <w:tcPr>
            <w:tcW w:w="1417" w:type="dxa"/>
          </w:tcPr>
          <w:p w:rsidR="00937C48" w:rsidRPr="003D5DDF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3D5DDF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5%</w:t>
            </w:r>
          </w:p>
        </w:tc>
      </w:tr>
      <w:tr w:rsidR="00937C48" w:rsidRPr="000D3DAE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6" w:type="dxa"/>
            <w:gridSpan w:val="4"/>
          </w:tcPr>
          <w:p w:rsidR="00937C48" w:rsidRPr="000D3DAE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</w:pPr>
            <w:r w:rsidRPr="008C218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Основные финансовые коэффициенты</w:t>
            </w:r>
          </w:p>
        </w:tc>
        <w:tc>
          <w:tcPr>
            <w:tcW w:w="1449" w:type="dxa"/>
          </w:tcPr>
          <w:p w:rsidR="00937C48" w:rsidRPr="000D3DA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37C48" w:rsidRPr="000D3DA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</w:tr>
      <w:tr w:rsidR="00937C48" w:rsidRPr="00BF55D1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496323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Отношение кредитного портфеля к средствам клиентов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449" w:type="dxa"/>
          </w:tcPr>
          <w:p w:rsidR="00937C48" w:rsidRPr="00FF6268" w:rsidRDefault="00937C48" w:rsidP="00FF62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-0,8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937C48" w:rsidRPr="00F27ADE" w:rsidRDefault="00937C48" w:rsidP="00FF62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1,0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</w:tr>
      <w:tr w:rsidR="00937C48" w:rsidRPr="000D3DAE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496323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Доля  неработающих  кредитов  в кредитном  портфеле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449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-0,4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937C48" w:rsidRPr="00F27ADE" w:rsidRDefault="00937C48" w:rsidP="00FF62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-0,2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</w:tr>
      <w:tr w:rsidR="00937C48" w:rsidRPr="000D3DAE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496323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496323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Резерв  под  обесценение  кредитного портфеля  к  неработающим  кредитам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167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8%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3%</w:t>
            </w:r>
          </w:p>
        </w:tc>
        <w:tc>
          <w:tcPr>
            <w:tcW w:w="1449" w:type="dxa"/>
          </w:tcPr>
          <w:p w:rsidR="00937C48" w:rsidRPr="00F27ADE" w:rsidRDefault="00937C48" w:rsidP="00FF62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10,6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10,5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</w:tr>
      <w:tr w:rsidR="00937C48" w:rsidRPr="000D3DAE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E1115F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Доля реструктурированных кредитов в совокупном кредитном портфеле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9%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1%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5%</w:t>
            </w:r>
          </w:p>
        </w:tc>
        <w:tc>
          <w:tcPr>
            <w:tcW w:w="1449" w:type="dxa"/>
          </w:tcPr>
          <w:p w:rsidR="00937C48" w:rsidRPr="00F27ADE" w:rsidRDefault="00937C48" w:rsidP="00FF62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-0,2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937C48" w:rsidRPr="00F27ADE" w:rsidRDefault="00937C48" w:rsidP="00FF62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-0,6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</w:tr>
      <w:tr w:rsidR="00937C48" w:rsidRPr="00A0030D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37C48" w:rsidRPr="00E1115F" w:rsidRDefault="00937C48" w:rsidP="00257CDD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 w:rsidRPr="00E1115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Общий резерв под неработающие кредиты и работающие реструктурированные кредиты</w:t>
            </w:r>
          </w:p>
        </w:tc>
        <w:tc>
          <w:tcPr>
            <w:tcW w:w="1134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1%</w:t>
            </w:r>
          </w:p>
        </w:tc>
        <w:tc>
          <w:tcPr>
            <w:tcW w:w="1362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386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27AD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449" w:type="dxa"/>
          </w:tcPr>
          <w:p w:rsidR="00937C48" w:rsidRPr="00F27ADE" w:rsidRDefault="00937C48" w:rsidP="00FF62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2,5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937C48" w:rsidRPr="00F27AD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8,5 </w:t>
            </w:r>
            <w:r w:rsidR="00FF6268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пп</w:t>
            </w:r>
          </w:p>
        </w:tc>
      </w:tr>
    </w:tbl>
    <w:p w:rsidR="00937C48" w:rsidRDefault="00937C48" w:rsidP="006D6F8B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6D6F8B" w:rsidRPr="003A40EF" w:rsidRDefault="00BF5A19" w:rsidP="006D6F8B">
      <w:pPr>
        <w:autoSpaceDE w:val="0"/>
        <w:autoSpaceDN w:val="0"/>
        <w:adjustRightInd w:val="0"/>
        <w:jc w:val="both"/>
        <w:rPr>
          <w:rFonts w:ascii="Tahoma" w:hAnsi="Tahoma" w:cs="Tahoma"/>
          <w:color w:val="666666"/>
          <w:sz w:val="20"/>
          <w:szCs w:val="20"/>
        </w:rPr>
      </w:pPr>
      <w:r w:rsidRPr="00746A05">
        <w:rPr>
          <w:rFonts w:ascii="Tahoma" w:hAnsi="Tahoma" w:cs="Tahoma"/>
          <w:b/>
          <w:color w:val="666666"/>
          <w:sz w:val="20"/>
          <w:szCs w:val="20"/>
        </w:rPr>
        <w:t>Кредитный портфель</w:t>
      </w:r>
      <w:r w:rsidR="00746A05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="006D6F8B">
        <w:rPr>
          <w:rFonts w:ascii="Tahoma" w:hAnsi="Tahoma" w:cs="Tahoma"/>
          <w:b/>
          <w:color w:val="666666"/>
          <w:sz w:val="20"/>
          <w:szCs w:val="20"/>
        </w:rPr>
        <w:t>(до</w:t>
      </w:r>
      <w:r w:rsidR="00746A05">
        <w:rPr>
          <w:rFonts w:ascii="Tahoma" w:hAnsi="Tahoma" w:cs="Tahoma"/>
          <w:b/>
          <w:color w:val="666666"/>
          <w:sz w:val="20"/>
          <w:szCs w:val="20"/>
        </w:rPr>
        <w:t xml:space="preserve"> вычет</w:t>
      </w:r>
      <w:r w:rsidR="006D6F8B">
        <w:rPr>
          <w:rFonts w:ascii="Tahoma" w:hAnsi="Tahoma" w:cs="Tahoma"/>
          <w:b/>
          <w:color w:val="666666"/>
          <w:sz w:val="20"/>
          <w:szCs w:val="20"/>
        </w:rPr>
        <w:t>а</w:t>
      </w:r>
      <w:r w:rsidR="00746A05">
        <w:rPr>
          <w:rFonts w:ascii="Tahoma" w:hAnsi="Tahoma" w:cs="Tahoma"/>
          <w:b/>
          <w:color w:val="666666"/>
          <w:sz w:val="20"/>
          <w:szCs w:val="20"/>
        </w:rPr>
        <w:t xml:space="preserve"> резервов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0D6D2A" w:rsidRPr="000D6D2A">
        <w:rPr>
          <w:rFonts w:ascii="Tahoma" w:hAnsi="Tahoma" w:cs="Tahoma"/>
          <w:b/>
          <w:color w:val="666666"/>
          <w:sz w:val="20"/>
          <w:szCs w:val="20"/>
        </w:rPr>
        <w:t>под обесценение</w:t>
      </w:r>
      <w:r w:rsidR="006D6F8B">
        <w:rPr>
          <w:rFonts w:ascii="Tahoma" w:hAnsi="Tahoma" w:cs="Tahoma"/>
          <w:b/>
          <w:color w:val="666666"/>
          <w:sz w:val="20"/>
          <w:szCs w:val="20"/>
        </w:rPr>
        <w:t>)</w:t>
      </w:r>
      <w:r w:rsidR="000D6D2A" w:rsidRPr="000D6D2A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="006D6F8B">
        <w:rPr>
          <w:rFonts w:ascii="Tahoma" w:hAnsi="Tahoma" w:cs="Tahoma"/>
          <w:color w:val="666666"/>
          <w:sz w:val="20"/>
          <w:szCs w:val="20"/>
        </w:rPr>
        <w:t xml:space="preserve">вырос </w:t>
      </w:r>
      <w:r>
        <w:rPr>
          <w:rFonts w:ascii="Tahoma" w:hAnsi="Tahoma" w:cs="Tahoma"/>
          <w:color w:val="666666"/>
          <w:sz w:val="20"/>
          <w:szCs w:val="20"/>
        </w:rPr>
        <w:t xml:space="preserve">на </w:t>
      </w:r>
      <w:r w:rsidR="002F480F">
        <w:rPr>
          <w:rFonts w:ascii="Tahoma" w:hAnsi="Tahoma" w:cs="Tahoma"/>
          <w:color w:val="666666"/>
          <w:sz w:val="20"/>
          <w:szCs w:val="20"/>
        </w:rPr>
        <w:t>2,</w:t>
      </w:r>
      <w:r w:rsidR="006D6F8B">
        <w:rPr>
          <w:rFonts w:ascii="Tahoma" w:hAnsi="Tahoma" w:cs="Tahoma"/>
          <w:color w:val="666666"/>
          <w:sz w:val="20"/>
          <w:szCs w:val="20"/>
        </w:rPr>
        <w:t>0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746A05">
        <w:rPr>
          <w:rFonts w:ascii="Tahoma" w:hAnsi="Tahoma" w:cs="Tahoma"/>
          <w:color w:val="666666"/>
          <w:sz w:val="20"/>
          <w:szCs w:val="20"/>
        </w:rPr>
        <w:t>до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 1</w:t>
      </w:r>
      <w:r w:rsidR="006D6F8B">
        <w:rPr>
          <w:rFonts w:ascii="Tahoma" w:hAnsi="Tahoma" w:cs="Tahoma"/>
          <w:color w:val="666666"/>
          <w:sz w:val="20"/>
          <w:szCs w:val="20"/>
        </w:rPr>
        <w:t>9</w:t>
      </w:r>
      <w:r w:rsidR="002F480F">
        <w:rPr>
          <w:rFonts w:ascii="Tahoma" w:hAnsi="Tahoma" w:cs="Tahoma"/>
          <w:color w:val="666666"/>
          <w:sz w:val="20"/>
          <w:szCs w:val="20"/>
        </w:rPr>
        <w:t> </w:t>
      </w:r>
      <w:r w:rsidR="006D6F8B">
        <w:rPr>
          <w:rFonts w:ascii="Tahoma" w:hAnsi="Tahoma" w:cs="Tahoma"/>
          <w:color w:val="666666"/>
          <w:sz w:val="20"/>
          <w:szCs w:val="20"/>
        </w:rPr>
        <w:t>891</w:t>
      </w:r>
      <w:r w:rsidR="002F480F">
        <w:rPr>
          <w:rFonts w:ascii="Tahoma" w:hAnsi="Tahoma" w:cs="Tahoma"/>
          <w:color w:val="666666"/>
          <w:sz w:val="20"/>
          <w:szCs w:val="20"/>
        </w:rPr>
        <w:t>,</w:t>
      </w:r>
      <w:r w:rsidR="006D6F8B">
        <w:rPr>
          <w:rFonts w:ascii="Tahoma" w:hAnsi="Tahoma" w:cs="Tahoma"/>
          <w:color w:val="666666"/>
          <w:sz w:val="20"/>
          <w:szCs w:val="20"/>
        </w:rPr>
        <w:t>2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млрд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C409B">
        <w:rPr>
          <w:rFonts w:ascii="Tahoma" w:hAnsi="Tahoma" w:cs="Tahoma"/>
          <w:color w:val="666666"/>
          <w:sz w:val="20"/>
          <w:szCs w:val="20"/>
        </w:rPr>
        <w:t>в 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6D6F8B">
        <w:rPr>
          <w:rFonts w:ascii="Tahoma" w:hAnsi="Tahoma" w:cs="Tahoma"/>
          <w:color w:val="666666"/>
          <w:sz w:val="20"/>
          <w:szCs w:val="20"/>
        </w:rPr>
        <w:t>7</w:t>
      </w:r>
      <w:r>
        <w:rPr>
          <w:rFonts w:ascii="Tahoma" w:hAnsi="Tahoma" w:cs="Tahoma"/>
          <w:color w:val="666666"/>
          <w:sz w:val="20"/>
          <w:szCs w:val="20"/>
        </w:rPr>
        <w:t xml:space="preserve"> года относительно </w:t>
      </w:r>
      <w:r w:rsidR="006D6F8B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квартала 201</w:t>
      </w:r>
      <w:r w:rsidR="006D6F8B">
        <w:rPr>
          <w:rFonts w:ascii="Tahoma" w:hAnsi="Tahoma" w:cs="Tahoma"/>
          <w:color w:val="666666"/>
          <w:sz w:val="20"/>
          <w:szCs w:val="20"/>
        </w:rPr>
        <w:t>7</w:t>
      </w:r>
      <w:r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6D6F8B">
        <w:rPr>
          <w:rFonts w:ascii="Tahoma" w:hAnsi="Tahoma" w:cs="Tahoma"/>
          <w:color w:val="666666"/>
          <w:sz w:val="20"/>
          <w:szCs w:val="20"/>
        </w:rPr>
        <w:t>Рост портфеля произошел за счет увеличения  кредитования физических лиц на 5,4% по сравнению с 3 кварталом 2017 года, что был</w:t>
      </w:r>
      <w:r w:rsidR="00CC4C77">
        <w:rPr>
          <w:rFonts w:ascii="Tahoma" w:hAnsi="Tahoma" w:cs="Tahoma"/>
          <w:color w:val="666666"/>
          <w:sz w:val="20"/>
          <w:szCs w:val="20"/>
        </w:rPr>
        <w:t>о</w:t>
      </w:r>
      <w:r w:rsidR="006D6F8B">
        <w:rPr>
          <w:rFonts w:ascii="Tahoma" w:hAnsi="Tahoma" w:cs="Tahoma"/>
          <w:color w:val="666666"/>
          <w:sz w:val="20"/>
          <w:szCs w:val="20"/>
        </w:rPr>
        <w:t xml:space="preserve"> связано с ростом ипотечных кредитов (+7,3% за квартал). Рост корпоративного </w:t>
      </w:r>
      <w:r w:rsidR="00070182">
        <w:rPr>
          <w:rFonts w:ascii="Tahoma" w:hAnsi="Tahoma" w:cs="Tahoma"/>
          <w:color w:val="666666"/>
          <w:sz w:val="20"/>
          <w:szCs w:val="20"/>
        </w:rPr>
        <w:t xml:space="preserve">кредитного </w:t>
      </w:r>
      <w:r w:rsidR="006D6F8B">
        <w:rPr>
          <w:rFonts w:ascii="Tahoma" w:hAnsi="Tahoma" w:cs="Tahoma"/>
          <w:color w:val="666666"/>
          <w:sz w:val="20"/>
          <w:szCs w:val="20"/>
        </w:rPr>
        <w:t xml:space="preserve">портфеля составил 0,7% </w:t>
      </w:r>
      <w:r w:rsidR="004212C3">
        <w:rPr>
          <w:rFonts w:ascii="Tahoma" w:hAnsi="Tahoma" w:cs="Tahoma"/>
          <w:color w:val="666666"/>
          <w:sz w:val="20"/>
          <w:szCs w:val="20"/>
        </w:rPr>
        <w:t>по сравнению с 3 кварталом 2017</w:t>
      </w:r>
      <w:r w:rsidR="006D6F8B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70182">
        <w:rPr>
          <w:rFonts w:ascii="Tahoma" w:hAnsi="Tahoma" w:cs="Tahoma"/>
          <w:color w:val="666666"/>
          <w:sz w:val="20"/>
          <w:szCs w:val="20"/>
        </w:rPr>
        <w:t xml:space="preserve">на фоне высоких </w:t>
      </w:r>
      <w:r w:rsidR="00972F7B">
        <w:rPr>
          <w:rFonts w:ascii="Tahoma" w:hAnsi="Tahoma" w:cs="Tahoma"/>
          <w:color w:val="666666"/>
          <w:sz w:val="20"/>
          <w:szCs w:val="20"/>
        </w:rPr>
        <w:t xml:space="preserve">объемов </w:t>
      </w:r>
      <w:r w:rsidR="006D6F8B">
        <w:rPr>
          <w:rFonts w:ascii="Tahoma" w:hAnsi="Tahoma" w:cs="Tahoma"/>
          <w:color w:val="666666"/>
          <w:sz w:val="20"/>
          <w:szCs w:val="20"/>
        </w:rPr>
        <w:t xml:space="preserve">рефинансирования. </w:t>
      </w:r>
    </w:p>
    <w:p w:rsidR="008F0AD5" w:rsidRDefault="00BF5A19" w:rsidP="009F18A7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94CEB">
        <w:rPr>
          <w:rFonts w:ascii="Tahoma" w:hAnsi="Tahoma" w:cs="Tahoma"/>
          <w:b/>
          <w:color w:val="666666"/>
          <w:sz w:val="20"/>
          <w:szCs w:val="20"/>
        </w:rPr>
        <w:t>Средства клиентов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выросли </w:t>
      </w:r>
      <w:r>
        <w:rPr>
          <w:rFonts w:ascii="Tahoma" w:hAnsi="Tahoma" w:cs="Tahoma"/>
          <w:color w:val="666666"/>
          <w:sz w:val="20"/>
          <w:szCs w:val="20"/>
        </w:rPr>
        <w:t xml:space="preserve">в </w:t>
      </w:r>
      <w:r w:rsidR="000C409B">
        <w:rPr>
          <w:rFonts w:ascii="Tahoma" w:hAnsi="Tahoma" w:cs="Tahoma"/>
          <w:color w:val="666666"/>
          <w:sz w:val="20"/>
          <w:szCs w:val="20"/>
        </w:rPr>
        <w:t>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C3B40">
        <w:rPr>
          <w:rFonts w:ascii="Tahoma" w:hAnsi="Tahoma" w:cs="Tahoma"/>
          <w:color w:val="666666"/>
          <w:sz w:val="20"/>
          <w:szCs w:val="20"/>
        </w:rPr>
        <w:t xml:space="preserve">2017 года </w:t>
      </w:r>
      <w:r w:rsidR="008F0AD5">
        <w:rPr>
          <w:rFonts w:ascii="Tahoma" w:hAnsi="Tahoma" w:cs="Tahoma"/>
          <w:color w:val="666666"/>
          <w:sz w:val="20"/>
          <w:szCs w:val="20"/>
        </w:rPr>
        <w:t>на 3,4%</w:t>
      </w:r>
      <w:r>
        <w:rPr>
          <w:rFonts w:ascii="Tahoma" w:hAnsi="Tahoma" w:cs="Tahoma"/>
          <w:color w:val="666666"/>
          <w:sz w:val="20"/>
          <w:szCs w:val="20"/>
        </w:rPr>
        <w:t xml:space="preserve"> относительно предыду</w:t>
      </w:r>
      <w:r w:rsidR="001F40A9">
        <w:rPr>
          <w:rFonts w:ascii="Tahoma" w:hAnsi="Tahoma" w:cs="Tahoma"/>
          <w:color w:val="666666"/>
          <w:sz w:val="20"/>
          <w:szCs w:val="20"/>
        </w:rPr>
        <w:t>щего</w:t>
      </w:r>
      <w:r w:rsidR="00CC4C77">
        <w:rPr>
          <w:rFonts w:ascii="Tahoma" w:hAnsi="Tahoma" w:cs="Tahoma"/>
          <w:color w:val="666666"/>
          <w:sz w:val="20"/>
          <w:szCs w:val="20"/>
        </w:rPr>
        <w:t xml:space="preserve"> квартала</w:t>
      </w:r>
      <w:r w:rsidR="00CB4E0B">
        <w:rPr>
          <w:rFonts w:ascii="Tahoma" w:hAnsi="Tahoma" w:cs="Tahoma"/>
          <w:color w:val="666666"/>
          <w:sz w:val="20"/>
          <w:szCs w:val="20"/>
        </w:rPr>
        <w:t xml:space="preserve">, что </w:t>
      </w:r>
      <w:r w:rsidR="008F0AD5">
        <w:rPr>
          <w:rFonts w:ascii="Tahoma" w:hAnsi="Tahoma" w:cs="Tahoma"/>
          <w:color w:val="666666"/>
          <w:sz w:val="20"/>
          <w:szCs w:val="20"/>
        </w:rPr>
        <w:t>обусловлено притоком средств как корпоратив</w:t>
      </w:r>
      <w:r w:rsidR="00911F75">
        <w:rPr>
          <w:rFonts w:ascii="Tahoma" w:hAnsi="Tahoma" w:cs="Tahoma"/>
          <w:color w:val="666666"/>
          <w:sz w:val="20"/>
          <w:szCs w:val="20"/>
        </w:rPr>
        <w:t>ных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, так </w:t>
      </w:r>
      <w:r w:rsidR="00911F75">
        <w:rPr>
          <w:rFonts w:ascii="Tahoma" w:hAnsi="Tahoma" w:cs="Tahoma"/>
          <w:color w:val="666666"/>
          <w:sz w:val="20"/>
          <w:szCs w:val="20"/>
        </w:rPr>
        <w:t xml:space="preserve">и 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розничных </w:t>
      </w:r>
      <w:r w:rsidR="00911F75">
        <w:rPr>
          <w:rFonts w:ascii="Tahoma" w:hAnsi="Tahoma" w:cs="Tahoma"/>
          <w:color w:val="666666"/>
          <w:sz w:val="20"/>
          <w:szCs w:val="20"/>
        </w:rPr>
        <w:t xml:space="preserve">клиентов </w:t>
      </w:r>
      <w:r w:rsidR="00972F7B">
        <w:rPr>
          <w:rFonts w:ascii="Tahoma" w:hAnsi="Tahoma" w:cs="Tahoma"/>
          <w:color w:val="666666"/>
          <w:sz w:val="20"/>
          <w:szCs w:val="20"/>
        </w:rPr>
        <w:t>(</w:t>
      </w:r>
      <w:r w:rsidR="008F0AD5">
        <w:rPr>
          <w:rFonts w:ascii="Tahoma" w:hAnsi="Tahoma" w:cs="Tahoma"/>
          <w:color w:val="666666"/>
          <w:sz w:val="20"/>
          <w:szCs w:val="20"/>
        </w:rPr>
        <w:t>+0,5%</w:t>
      </w:r>
      <w:r w:rsidR="00972F7B">
        <w:rPr>
          <w:rFonts w:ascii="Tahoma" w:hAnsi="Tahoma" w:cs="Tahoma"/>
          <w:color w:val="666666"/>
          <w:sz w:val="20"/>
          <w:szCs w:val="20"/>
        </w:rPr>
        <w:t xml:space="preserve"> и +4,9</w:t>
      </w:r>
      <w:r w:rsidR="00972F7B" w:rsidRPr="00813221">
        <w:rPr>
          <w:rFonts w:ascii="Tahoma" w:hAnsi="Tahoma" w:cs="Tahoma"/>
          <w:color w:val="666666"/>
          <w:sz w:val="20"/>
          <w:szCs w:val="20"/>
        </w:rPr>
        <w:t>%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, соответственно, </w:t>
      </w:r>
      <w:r w:rsidR="008F0AD5" w:rsidRPr="00813221">
        <w:rPr>
          <w:rFonts w:ascii="Tahoma" w:hAnsi="Tahoma" w:cs="Tahoma"/>
          <w:color w:val="666666"/>
          <w:sz w:val="20"/>
          <w:szCs w:val="20"/>
        </w:rPr>
        <w:t>за квартал).</w:t>
      </w:r>
    </w:p>
    <w:p w:rsidR="00BF5A19" w:rsidRDefault="00102CB7" w:rsidP="009F18A7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D6D2A">
        <w:rPr>
          <w:rFonts w:ascii="Tahoma" w:hAnsi="Tahoma" w:cs="Tahoma"/>
          <w:b/>
          <w:color w:val="666666"/>
          <w:sz w:val="20"/>
          <w:szCs w:val="20"/>
        </w:rPr>
        <w:t>Объем неработающих кредитов</w:t>
      </w:r>
      <w:r w:rsidR="00DE40AA">
        <w:rPr>
          <w:rStyle w:val="af5"/>
          <w:rFonts w:ascii="Tahoma" w:hAnsi="Tahoma" w:cs="Tahoma"/>
          <w:b/>
          <w:color w:val="666666"/>
          <w:sz w:val="20"/>
          <w:szCs w:val="20"/>
        </w:rPr>
        <w:footnoteReference w:id="2"/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сократился на </w:t>
      </w:r>
      <w:r w:rsidR="00911F75">
        <w:rPr>
          <w:rFonts w:ascii="Tahoma" w:hAnsi="Tahoma" w:cs="Tahoma"/>
          <w:color w:val="666666"/>
          <w:sz w:val="20"/>
          <w:szCs w:val="20"/>
        </w:rPr>
        <w:t>5,</w:t>
      </w:r>
      <w:r w:rsidR="008F0AD5">
        <w:rPr>
          <w:rFonts w:ascii="Tahoma" w:hAnsi="Tahoma" w:cs="Tahoma"/>
          <w:color w:val="666666"/>
          <w:sz w:val="20"/>
          <w:szCs w:val="20"/>
        </w:rPr>
        <w:t>8%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до 8</w:t>
      </w:r>
      <w:r w:rsidR="008F0AD5">
        <w:rPr>
          <w:rFonts w:ascii="Tahoma" w:hAnsi="Tahoma" w:cs="Tahoma"/>
          <w:color w:val="666666"/>
          <w:sz w:val="20"/>
          <w:szCs w:val="20"/>
        </w:rPr>
        <w:t>36</w:t>
      </w:r>
      <w:r w:rsidRPr="00630BB6">
        <w:rPr>
          <w:rFonts w:ascii="Tahoma" w:hAnsi="Tahoma" w:cs="Tahoma"/>
          <w:color w:val="666666"/>
          <w:sz w:val="20"/>
          <w:szCs w:val="20"/>
        </w:rPr>
        <w:t>,4 млрд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630BB6">
        <w:rPr>
          <w:rFonts w:ascii="Tahoma" w:hAnsi="Tahoma" w:cs="Tahoma"/>
          <w:color w:val="666666"/>
          <w:sz w:val="20"/>
          <w:szCs w:val="20"/>
        </w:rPr>
        <w:t>руб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в 4 квартале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 w:rsidRPr="000D6D2A">
        <w:rPr>
          <w:rFonts w:ascii="Tahoma" w:hAnsi="Tahoma" w:cs="Tahoma"/>
          <w:color w:val="666666"/>
          <w:sz w:val="20"/>
          <w:szCs w:val="20"/>
        </w:rPr>
        <w:t xml:space="preserve">Доля </w:t>
      </w:r>
      <w:r w:rsidR="00217976" w:rsidRPr="000D6D2A">
        <w:rPr>
          <w:rFonts w:ascii="Tahoma" w:hAnsi="Tahoma" w:cs="Tahoma"/>
          <w:color w:val="666666"/>
          <w:sz w:val="20"/>
          <w:szCs w:val="20"/>
        </w:rPr>
        <w:t xml:space="preserve">неработающих кредитов в </w:t>
      </w:r>
      <w:r w:rsidR="00BF5A19" w:rsidRPr="000D6D2A">
        <w:rPr>
          <w:rFonts w:ascii="Tahoma" w:hAnsi="Tahoma" w:cs="Tahoma"/>
          <w:color w:val="666666"/>
          <w:sz w:val="20"/>
          <w:szCs w:val="20"/>
        </w:rPr>
        <w:t>кредитном портфеле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D19AA">
        <w:rPr>
          <w:rFonts w:ascii="Tahoma" w:hAnsi="Tahoma" w:cs="Tahoma"/>
          <w:color w:val="666666"/>
          <w:sz w:val="20"/>
          <w:szCs w:val="20"/>
        </w:rPr>
        <w:t>снизилась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до </w:t>
      </w:r>
      <w:r w:rsidR="008F0AD5">
        <w:rPr>
          <w:rFonts w:ascii="Tahoma" w:hAnsi="Tahoma" w:cs="Tahoma"/>
          <w:color w:val="666666"/>
          <w:sz w:val="20"/>
          <w:szCs w:val="20"/>
        </w:rPr>
        <w:t>4,2% в 4 квартале 2017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с </w:t>
      </w:r>
      <w:r w:rsidR="008F0AD5">
        <w:rPr>
          <w:rFonts w:ascii="Tahoma" w:hAnsi="Tahoma" w:cs="Tahoma"/>
          <w:color w:val="666666"/>
          <w:sz w:val="20"/>
          <w:szCs w:val="20"/>
        </w:rPr>
        <w:t>4,6</w:t>
      </w:r>
      <w:r>
        <w:rPr>
          <w:rFonts w:ascii="Tahoma" w:hAnsi="Tahoma" w:cs="Tahoma"/>
          <w:color w:val="666666"/>
          <w:sz w:val="20"/>
          <w:szCs w:val="20"/>
        </w:rPr>
        <w:t xml:space="preserve">%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>за предыдущий квартал 201</w:t>
      </w:r>
      <w:r w:rsidR="008F0AD5">
        <w:rPr>
          <w:rFonts w:ascii="Tahoma" w:hAnsi="Tahoma" w:cs="Tahoma"/>
          <w:color w:val="666666"/>
          <w:sz w:val="20"/>
          <w:szCs w:val="20"/>
        </w:rPr>
        <w:t>7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0D6D2A">
        <w:rPr>
          <w:rFonts w:ascii="Tahoma" w:hAnsi="Tahoma" w:cs="Tahoma"/>
          <w:color w:val="666666"/>
          <w:sz w:val="20"/>
          <w:szCs w:val="20"/>
        </w:rPr>
        <w:t>Коэффициент покрытия неработающих кредитов созданным</w:t>
      </w:r>
      <w:r w:rsidR="00FF6268">
        <w:rPr>
          <w:rFonts w:ascii="Tahoma" w:hAnsi="Tahoma" w:cs="Tahoma"/>
          <w:color w:val="666666"/>
          <w:sz w:val="20"/>
          <w:szCs w:val="20"/>
        </w:rPr>
        <w:t>и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>
        <w:rPr>
          <w:rFonts w:ascii="Tahoma" w:hAnsi="Tahoma" w:cs="Tahoma"/>
          <w:color w:val="666666"/>
          <w:sz w:val="20"/>
          <w:szCs w:val="20"/>
        </w:rPr>
        <w:t>резерв</w:t>
      </w:r>
      <w:r w:rsidR="00FF6268">
        <w:rPr>
          <w:rFonts w:ascii="Tahoma" w:hAnsi="Tahoma" w:cs="Tahoma"/>
          <w:color w:val="666666"/>
          <w:sz w:val="20"/>
          <w:szCs w:val="20"/>
        </w:rPr>
        <w:t>ами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 увеличился </w:t>
      </w:r>
      <w:r w:rsidR="0082361A">
        <w:rPr>
          <w:rFonts w:ascii="Tahoma" w:hAnsi="Tahoma" w:cs="Tahoma"/>
          <w:color w:val="666666"/>
          <w:sz w:val="20"/>
          <w:szCs w:val="20"/>
        </w:rPr>
        <w:t xml:space="preserve">в 4 квартале </w:t>
      </w:r>
      <w:r>
        <w:rPr>
          <w:rFonts w:ascii="Tahoma" w:hAnsi="Tahoma" w:cs="Tahoma"/>
          <w:color w:val="666666"/>
          <w:sz w:val="20"/>
          <w:szCs w:val="20"/>
        </w:rPr>
        <w:t>до</w:t>
      </w:r>
      <w:r w:rsidR="0082361A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F0AD5">
        <w:rPr>
          <w:rFonts w:ascii="Tahoma" w:hAnsi="Tahoma" w:cs="Tahoma"/>
          <w:color w:val="666666"/>
          <w:sz w:val="20"/>
          <w:szCs w:val="20"/>
        </w:rPr>
        <w:t>16</w:t>
      </w:r>
      <w:r w:rsidR="0082361A">
        <w:rPr>
          <w:rFonts w:ascii="Tahoma" w:hAnsi="Tahoma" w:cs="Tahoma"/>
          <w:color w:val="666666"/>
          <w:sz w:val="20"/>
          <w:szCs w:val="20"/>
        </w:rPr>
        <w:t>7</w:t>
      </w:r>
      <w:r w:rsidR="008F0AD5">
        <w:rPr>
          <w:rFonts w:ascii="Tahoma" w:hAnsi="Tahoma" w:cs="Tahoma"/>
          <w:color w:val="666666"/>
          <w:sz w:val="20"/>
          <w:szCs w:val="20"/>
        </w:rPr>
        <w:t>,8</w:t>
      </w:r>
      <w:r w:rsidR="0082361A">
        <w:rPr>
          <w:rFonts w:ascii="Tahoma" w:hAnsi="Tahoma" w:cs="Tahoma"/>
          <w:color w:val="666666"/>
          <w:sz w:val="20"/>
          <w:szCs w:val="20"/>
        </w:rPr>
        <w:t>%</w:t>
      </w:r>
      <w:r w:rsidR="000D6D2A">
        <w:rPr>
          <w:rFonts w:ascii="Tahoma" w:hAnsi="Tahoma" w:cs="Tahoma"/>
          <w:color w:val="666666"/>
          <w:sz w:val="20"/>
          <w:szCs w:val="20"/>
        </w:rPr>
        <w:t>.</w:t>
      </w:r>
    </w:p>
    <w:p w:rsidR="00345061" w:rsidRDefault="0082361A" w:rsidP="00DB252F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630BB6">
        <w:rPr>
          <w:rFonts w:ascii="Tahoma" w:hAnsi="Tahoma" w:cs="Tahoma"/>
          <w:color w:val="666666"/>
          <w:sz w:val="20"/>
          <w:szCs w:val="20"/>
        </w:rPr>
        <w:t xml:space="preserve">Доля </w:t>
      </w:r>
      <w:r w:rsidR="00BF5A19" w:rsidRPr="0020760C">
        <w:rPr>
          <w:rFonts w:ascii="Tahoma" w:hAnsi="Tahoma" w:cs="Tahoma"/>
          <w:b/>
          <w:color w:val="666666"/>
          <w:sz w:val="20"/>
          <w:szCs w:val="20"/>
        </w:rPr>
        <w:t>реструктурированных кредитов</w:t>
      </w:r>
      <w:r w:rsidR="00BF5A1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F0AD5">
        <w:rPr>
          <w:rFonts w:ascii="Tahoma" w:hAnsi="Tahoma" w:cs="Tahoma"/>
          <w:color w:val="666666"/>
          <w:sz w:val="20"/>
          <w:szCs w:val="20"/>
        </w:rPr>
        <w:t>снизилась до 5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8F0AD5">
        <w:rPr>
          <w:rFonts w:ascii="Tahoma" w:hAnsi="Tahoma" w:cs="Tahoma"/>
          <w:color w:val="666666"/>
          <w:sz w:val="20"/>
          <w:szCs w:val="20"/>
        </w:rPr>
        <w:t>9</w:t>
      </w:r>
      <w:r>
        <w:rPr>
          <w:rFonts w:ascii="Tahoma" w:hAnsi="Tahoma" w:cs="Tahoma"/>
          <w:color w:val="666666"/>
          <w:sz w:val="20"/>
          <w:szCs w:val="20"/>
        </w:rPr>
        <w:t xml:space="preserve">% </w:t>
      </w:r>
      <w:r w:rsidR="006A5880">
        <w:rPr>
          <w:rFonts w:ascii="Tahoma" w:hAnsi="Tahoma" w:cs="Tahoma"/>
          <w:color w:val="666666"/>
          <w:sz w:val="20"/>
          <w:szCs w:val="20"/>
        </w:rPr>
        <w:t>от общего портфеля в 4 квартале 201</w:t>
      </w:r>
      <w:r w:rsidR="008F0AD5">
        <w:rPr>
          <w:rFonts w:ascii="Tahoma" w:hAnsi="Tahoma" w:cs="Tahoma"/>
          <w:color w:val="666666"/>
          <w:sz w:val="20"/>
          <w:szCs w:val="20"/>
        </w:rPr>
        <w:t>7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C3B40">
        <w:rPr>
          <w:rFonts w:ascii="Tahoma" w:hAnsi="Tahoma" w:cs="Tahoma"/>
          <w:color w:val="666666"/>
          <w:sz w:val="20"/>
          <w:szCs w:val="20"/>
        </w:rPr>
        <w:t xml:space="preserve">года </w:t>
      </w:r>
      <w:r>
        <w:rPr>
          <w:rFonts w:ascii="Tahoma" w:hAnsi="Tahoma" w:cs="Tahoma"/>
          <w:color w:val="666666"/>
          <w:sz w:val="20"/>
          <w:szCs w:val="20"/>
        </w:rPr>
        <w:t>по сравнению с 6,</w:t>
      </w:r>
      <w:r w:rsidR="008F0AD5">
        <w:rPr>
          <w:rFonts w:ascii="Tahoma" w:hAnsi="Tahoma" w:cs="Tahoma"/>
          <w:color w:val="666666"/>
          <w:sz w:val="20"/>
          <w:szCs w:val="20"/>
        </w:rPr>
        <w:t>1</w:t>
      </w:r>
      <w:r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6A5880">
        <w:rPr>
          <w:rFonts w:ascii="Tahoma" w:hAnsi="Tahoma" w:cs="Tahoma"/>
          <w:color w:val="666666"/>
          <w:sz w:val="20"/>
          <w:szCs w:val="20"/>
        </w:rPr>
        <w:t>3 квартал</w:t>
      </w:r>
      <w:r>
        <w:rPr>
          <w:rFonts w:ascii="Tahoma" w:hAnsi="Tahoma" w:cs="Tahoma"/>
          <w:color w:val="666666"/>
          <w:sz w:val="20"/>
          <w:szCs w:val="20"/>
        </w:rPr>
        <w:t>е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201</w:t>
      </w:r>
      <w:r w:rsidR="008F0AD5">
        <w:rPr>
          <w:rFonts w:ascii="Tahoma" w:hAnsi="Tahoma" w:cs="Tahoma"/>
          <w:color w:val="666666"/>
          <w:sz w:val="20"/>
          <w:szCs w:val="20"/>
        </w:rPr>
        <w:t>7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24548">
        <w:rPr>
          <w:rFonts w:ascii="Tahoma" w:hAnsi="Tahoma" w:cs="Tahoma"/>
          <w:color w:val="666666"/>
          <w:sz w:val="20"/>
          <w:szCs w:val="20"/>
        </w:rPr>
        <w:t xml:space="preserve">вследствие 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плановой работы с проблемной задолженностью. </w:t>
      </w:r>
      <w:r w:rsidR="008C7913">
        <w:rPr>
          <w:rFonts w:ascii="Tahoma" w:hAnsi="Tahoma" w:cs="Tahoma"/>
          <w:color w:val="666666"/>
          <w:sz w:val="20"/>
          <w:szCs w:val="20"/>
        </w:rPr>
        <w:t>Отношение р</w:t>
      </w:r>
      <w:r w:rsidRPr="00630BB6">
        <w:rPr>
          <w:rFonts w:ascii="Tahoma" w:hAnsi="Tahoma" w:cs="Tahoma"/>
          <w:color w:val="666666"/>
          <w:sz w:val="20"/>
          <w:szCs w:val="20"/>
        </w:rPr>
        <w:t>езерв</w:t>
      </w:r>
      <w:r w:rsidR="008C7913">
        <w:rPr>
          <w:rFonts w:ascii="Tahoma" w:hAnsi="Tahoma" w:cs="Tahoma"/>
          <w:color w:val="666666"/>
          <w:sz w:val="20"/>
          <w:szCs w:val="20"/>
        </w:rPr>
        <w:t>а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 под  обесценение  кредитного портфеля к с</w:t>
      </w:r>
      <w:r w:rsidR="008C7913">
        <w:rPr>
          <w:rFonts w:ascii="Tahoma" w:hAnsi="Tahoma" w:cs="Tahoma"/>
          <w:color w:val="666666"/>
          <w:sz w:val="20"/>
          <w:szCs w:val="20"/>
        </w:rPr>
        <w:t xml:space="preserve">овокупности </w:t>
      </w:r>
      <w:r w:rsidRPr="00630BB6">
        <w:rPr>
          <w:rFonts w:ascii="Tahoma" w:hAnsi="Tahoma" w:cs="Tahoma"/>
          <w:color w:val="666666"/>
          <w:sz w:val="20"/>
          <w:szCs w:val="20"/>
        </w:rPr>
        <w:t>неработающих и реструктурированных работающих кредитов</w:t>
      </w:r>
      <w:r w:rsidR="008F0AD5">
        <w:rPr>
          <w:rFonts w:ascii="Tahoma" w:hAnsi="Tahoma" w:cs="Tahoma"/>
          <w:color w:val="666666"/>
          <w:sz w:val="20"/>
          <w:szCs w:val="20"/>
        </w:rPr>
        <w:t xml:space="preserve"> увеличил</w:t>
      </w:r>
      <w:r w:rsidR="008C7913">
        <w:rPr>
          <w:rFonts w:ascii="Tahoma" w:hAnsi="Tahoma" w:cs="Tahoma"/>
          <w:color w:val="666666"/>
          <w:sz w:val="20"/>
          <w:szCs w:val="20"/>
        </w:rPr>
        <w:t xml:space="preserve">ось </w:t>
      </w:r>
      <w:r w:rsidR="008F0AD5">
        <w:rPr>
          <w:rFonts w:ascii="Tahoma" w:hAnsi="Tahoma" w:cs="Tahoma"/>
          <w:color w:val="666666"/>
          <w:sz w:val="20"/>
          <w:szCs w:val="20"/>
        </w:rPr>
        <w:t>до 83,1</w:t>
      </w:r>
      <w:r>
        <w:rPr>
          <w:rFonts w:ascii="Tahoma" w:hAnsi="Tahoma" w:cs="Tahoma"/>
          <w:color w:val="666666"/>
          <w:sz w:val="20"/>
          <w:szCs w:val="20"/>
        </w:rPr>
        <w:t xml:space="preserve">% в 4 квартале </w:t>
      </w:r>
      <w:r w:rsidR="003E0344">
        <w:rPr>
          <w:rFonts w:ascii="Tahoma" w:hAnsi="Tahoma" w:cs="Tahoma"/>
          <w:color w:val="666666"/>
          <w:sz w:val="20"/>
          <w:szCs w:val="20"/>
        </w:rPr>
        <w:t>по срав</w:t>
      </w:r>
      <w:r>
        <w:rPr>
          <w:rFonts w:ascii="Tahoma" w:hAnsi="Tahoma" w:cs="Tahoma"/>
          <w:color w:val="666666"/>
          <w:sz w:val="20"/>
          <w:szCs w:val="20"/>
        </w:rPr>
        <w:t xml:space="preserve">нению с </w:t>
      </w:r>
      <w:r w:rsidR="008F0AD5">
        <w:rPr>
          <w:rFonts w:ascii="Tahoma" w:hAnsi="Tahoma" w:cs="Tahoma"/>
          <w:color w:val="666666"/>
          <w:sz w:val="20"/>
          <w:szCs w:val="20"/>
        </w:rPr>
        <w:t>80,6</w:t>
      </w:r>
      <w:r>
        <w:rPr>
          <w:rFonts w:ascii="Tahoma" w:hAnsi="Tahoma" w:cs="Tahoma"/>
          <w:color w:val="666666"/>
          <w:sz w:val="20"/>
          <w:szCs w:val="20"/>
        </w:rPr>
        <w:t>% в 3 квартале 201</w:t>
      </w:r>
      <w:r w:rsidR="008F0AD5">
        <w:rPr>
          <w:rFonts w:ascii="Tahoma" w:hAnsi="Tahoma" w:cs="Tahoma"/>
          <w:color w:val="666666"/>
          <w:sz w:val="20"/>
          <w:szCs w:val="20"/>
        </w:rPr>
        <w:t>7</w:t>
      </w:r>
      <w:r w:rsidR="003E0344">
        <w:rPr>
          <w:rFonts w:ascii="Tahoma" w:hAnsi="Tahoma" w:cs="Tahoma"/>
          <w:color w:val="666666"/>
          <w:sz w:val="20"/>
          <w:szCs w:val="20"/>
        </w:rPr>
        <w:t>.</w:t>
      </w:r>
      <w:r w:rsidR="00DB252F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3A3154" w:rsidRDefault="00D6183E" w:rsidP="003A3154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Расчет достаточности капитала</w:t>
      </w:r>
    </w:p>
    <w:tbl>
      <w:tblPr>
        <w:tblStyle w:val="-30"/>
        <w:tblW w:w="1026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08"/>
        <w:gridCol w:w="1426"/>
        <w:gridCol w:w="1426"/>
      </w:tblGrid>
      <w:tr w:rsidR="00937C48" w:rsidRPr="00CC7787" w:rsidTr="0025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9815B9" w:rsidRDefault="00937C48" w:rsidP="00257CDD">
            <w:pPr>
              <w:rPr>
                <w:rStyle w:val="a3"/>
                <w:rFonts w:ascii="Tahoma" w:hAnsi="Tahoma" w:cs="Tahoma"/>
                <w:color w:val="666666"/>
                <w:sz w:val="18"/>
                <w:szCs w:val="18"/>
              </w:rPr>
            </w:pPr>
            <w:r w:rsidRPr="009815B9">
              <w:rPr>
                <w:rStyle w:val="a3"/>
                <w:rFonts w:ascii="Tahoma" w:hAnsi="Tahoma" w:cs="Tahoma"/>
                <w:color w:val="666666"/>
                <w:sz w:val="18"/>
                <w:szCs w:val="18"/>
              </w:rPr>
              <w:t xml:space="preserve">Согласно </w:t>
            </w:r>
            <w:r w:rsidRPr="009815B9">
              <w:rPr>
                <w:rFonts w:ascii="Tahoma" w:hAnsi="Tahoma" w:cs="Tahoma"/>
                <w:color w:val="666666"/>
                <w:sz w:val="20"/>
                <w:szCs w:val="20"/>
              </w:rPr>
              <w:t xml:space="preserve">Базель </w:t>
            </w:r>
            <w:r w:rsidRPr="009815B9">
              <w:rPr>
                <w:rFonts w:ascii="Tahoma" w:hAnsi="Tahoma" w:cs="Tahoma"/>
                <w:color w:val="666666"/>
                <w:sz w:val="20"/>
                <w:szCs w:val="20"/>
                <w:lang w:val="en-US"/>
              </w:rPr>
              <w:t>III</w:t>
            </w:r>
          </w:p>
          <w:p w:rsidR="00937C48" w:rsidRPr="00C130AA" w:rsidRDefault="00937C48" w:rsidP="00257CDD">
            <w:pP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9815B9">
              <w:rPr>
                <w:rStyle w:val="a3"/>
                <w:rFonts w:ascii="Tahoma" w:hAnsi="Tahoma" w:cs="Tahoma"/>
                <w:i/>
                <w:color w:val="666666"/>
                <w:sz w:val="18"/>
                <w:szCs w:val="18"/>
              </w:rPr>
              <w:t>млрд. руб., если не указано иное</w:t>
            </w:r>
          </w:p>
        </w:tc>
        <w:tc>
          <w:tcPr>
            <w:tcW w:w="1276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31/12/17</w:t>
            </w:r>
          </w:p>
        </w:tc>
        <w:tc>
          <w:tcPr>
            <w:tcW w:w="1276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30/09/17</w:t>
            </w:r>
          </w:p>
        </w:tc>
        <w:tc>
          <w:tcPr>
            <w:tcW w:w="1208" w:type="dxa"/>
          </w:tcPr>
          <w:p w:rsidR="00937C48" w:rsidRPr="00BF773B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</w:pPr>
            <w:r w:rsidRPr="00BF773B">
              <w:rPr>
                <w:rStyle w:val="a3"/>
                <w:rFonts w:ascii="Tahoma" w:hAnsi="Tahoma" w:cs="Tahoma"/>
                <w:b/>
                <w:color w:val="666666"/>
                <w:sz w:val="18"/>
                <w:szCs w:val="19"/>
                <w:lang w:val="en-US"/>
              </w:rPr>
              <w:t>31/12/16</w:t>
            </w:r>
          </w:p>
        </w:tc>
        <w:tc>
          <w:tcPr>
            <w:tcW w:w="1426" w:type="dxa"/>
          </w:tcPr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.1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7/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9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17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%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изм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</w:t>
            </w:r>
          </w:p>
        </w:tc>
        <w:tc>
          <w:tcPr>
            <w:tcW w:w="1426" w:type="dxa"/>
          </w:tcPr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17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/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12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мес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 16</w:t>
            </w:r>
          </w:p>
          <w:p w:rsidR="00937C48" w:rsidRPr="00E43683" w:rsidRDefault="00937C48" w:rsidP="00257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</w:pP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 xml:space="preserve">% 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</w:rPr>
              <w:t>изм</w:t>
            </w:r>
            <w:r w:rsidRPr="00E43683">
              <w:rPr>
                <w:rStyle w:val="a3"/>
                <w:rFonts w:ascii="Tahoma" w:hAnsi="Tahoma" w:cs="Tahoma"/>
                <w:b/>
                <w:i/>
                <w:color w:val="666666"/>
                <w:sz w:val="18"/>
                <w:szCs w:val="18"/>
                <w:lang w:val="en-US"/>
              </w:rPr>
              <w:t>.</w:t>
            </w:r>
          </w:p>
        </w:tc>
      </w:tr>
      <w:tr w:rsidR="00937C48" w:rsidRPr="00CC7787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1F40A9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Капитал 1-го уровня</w:t>
            </w:r>
            <w:r w:rsidRPr="001F40A9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7C48" w:rsidRPr="00FC33D0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C33D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360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C33D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187,2</w:t>
            </w: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765,9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5%</w:t>
            </w:r>
          </w:p>
        </w:tc>
      </w:tr>
      <w:tr w:rsidR="00937C48" w:rsidRPr="00CC7787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CA5C6F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Общий капитал</w:t>
            </w:r>
          </w:p>
        </w:tc>
        <w:tc>
          <w:tcPr>
            <w:tcW w:w="1276" w:type="dxa"/>
          </w:tcPr>
          <w:p w:rsidR="00937C48" w:rsidRPr="00FC33D0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 w:rsidRPr="00FC33D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820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 w:rsidRPr="00FC33D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662,7</w:t>
            </w: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241,8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17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8%</w:t>
            </w:r>
          </w:p>
        </w:tc>
      </w:tr>
      <w:tr w:rsidR="00937C48" w:rsidRPr="00CC7787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CA5C6F" w:rsidRDefault="00937C48" w:rsidP="00257CDD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Активы, взвешенные с учетом риска </w:t>
            </w:r>
          </w:p>
        </w:tc>
        <w:tc>
          <w:tcPr>
            <w:tcW w:w="1276" w:type="dxa"/>
          </w:tcPr>
          <w:p w:rsidR="00937C48" w:rsidRPr="00FC33D0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496,8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862,9</w:t>
            </w: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028,3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1%</w:t>
            </w:r>
          </w:p>
        </w:tc>
      </w:tr>
      <w:tr w:rsidR="00937C48" w:rsidRPr="00CC7787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Кредитный риск</w:t>
            </w:r>
          </w:p>
        </w:tc>
        <w:tc>
          <w:tcPr>
            <w:tcW w:w="1276" w:type="dxa"/>
          </w:tcPr>
          <w:p w:rsidR="00937C48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245,7</w:t>
            </w:r>
          </w:p>
        </w:tc>
        <w:tc>
          <w:tcPr>
            <w:tcW w:w="1276" w:type="dxa"/>
          </w:tcPr>
          <w:p w:rsidR="00937C48" w:rsidRPr="00CD3B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25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246,9</w:t>
            </w:r>
          </w:p>
        </w:tc>
        <w:tc>
          <w:tcPr>
            <w:tcW w:w="1208" w:type="dxa"/>
          </w:tcPr>
          <w:p w:rsidR="00937C48" w:rsidRPr="00CD3B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443,0</w:t>
            </w:r>
          </w:p>
        </w:tc>
        <w:tc>
          <w:tcPr>
            <w:tcW w:w="1426" w:type="dxa"/>
          </w:tcPr>
          <w:p w:rsidR="00937C48" w:rsidRPr="000B451B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~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без изм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7,7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</w:t>
            </w:r>
          </w:p>
        </w:tc>
      </w:tr>
      <w:tr w:rsidR="00937C48" w:rsidRPr="00CC7787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Операционный риск</w:t>
            </w:r>
          </w:p>
        </w:tc>
        <w:tc>
          <w:tcPr>
            <w:tcW w:w="1276" w:type="dxa"/>
          </w:tcPr>
          <w:p w:rsidR="00937C48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092,8</w:t>
            </w:r>
          </w:p>
        </w:tc>
        <w:tc>
          <w:tcPr>
            <w:tcW w:w="1276" w:type="dxa"/>
          </w:tcPr>
          <w:p w:rsidR="00937C48" w:rsidRPr="00CD3B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736,0</w:t>
            </w:r>
          </w:p>
        </w:tc>
        <w:tc>
          <w:tcPr>
            <w:tcW w:w="1208" w:type="dxa"/>
          </w:tcPr>
          <w:p w:rsidR="00937C48" w:rsidRPr="00CD3B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736,0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</w:tr>
      <w:tr w:rsidR="00937C48" w:rsidRPr="00CC7787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ind w:left="708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D84C6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Рыночный риск</w:t>
            </w:r>
          </w:p>
        </w:tc>
        <w:tc>
          <w:tcPr>
            <w:tcW w:w="1276" w:type="dxa"/>
          </w:tcPr>
          <w:p w:rsidR="00937C48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158,3</w:t>
            </w:r>
          </w:p>
        </w:tc>
        <w:tc>
          <w:tcPr>
            <w:tcW w:w="1276" w:type="dxa"/>
          </w:tcPr>
          <w:p w:rsidR="00937C48" w:rsidRPr="00CD3B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880,0</w:t>
            </w:r>
          </w:p>
        </w:tc>
        <w:tc>
          <w:tcPr>
            <w:tcW w:w="1208" w:type="dxa"/>
          </w:tcPr>
          <w:p w:rsidR="00937C48" w:rsidRPr="00CD3B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849,3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31,6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36,4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</w:t>
            </w:r>
          </w:p>
        </w:tc>
      </w:tr>
      <w:tr w:rsidR="00937C48" w:rsidRPr="00CC7787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ED3B63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Коэффициенты достаточности капитала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937C48" w:rsidRPr="00CC7787" w:rsidTr="00257C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Коэффициент достаточности </w:t>
            </w: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базового </w:t>
            </w: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капитала</w:t>
            </w: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1-го уровня</w:t>
            </w:r>
          </w:p>
        </w:tc>
        <w:tc>
          <w:tcPr>
            <w:tcW w:w="1276" w:type="dxa"/>
          </w:tcPr>
          <w:p w:rsidR="00937C48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11,4%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11,0%</w:t>
            </w: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10,2%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4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2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  <w:tr w:rsidR="00937C48" w:rsidRPr="00CC7787" w:rsidTr="0025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7C48" w:rsidRPr="00D84C69" w:rsidRDefault="00937C48" w:rsidP="00257CDD">
            <w:pP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Коэффициент достаточности общего капитала</w:t>
            </w:r>
          </w:p>
        </w:tc>
        <w:tc>
          <w:tcPr>
            <w:tcW w:w="1276" w:type="dxa"/>
          </w:tcPr>
          <w:p w:rsidR="00937C48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13,0%</w:t>
            </w:r>
          </w:p>
        </w:tc>
        <w:tc>
          <w:tcPr>
            <w:tcW w:w="1276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12,7%</w:t>
            </w:r>
          </w:p>
        </w:tc>
        <w:tc>
          <w:tcPr>
            <w:tcW w:w="1208" w:type="dxa"/>
          </w:tcPr>
          <w:p w:rsidR="00937C48" w:rsidRPr="00537797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12,0%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3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  <w:tc>
          <w:tcPr>
            <w:tcW w:w="1426" w:type="dxa"/>
          </w:tcPr>
          <w:p w:rsidR="00937C48" w:rsidRPr="00695F9E" w:rsidRDefault="00937C48" w:rsidP="00257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 w:rsidRPr="00695F9E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 xml:space="preserve">0 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пп</w:t>
            </w:r>
          </w:p>
        </w:tc>
      </w:tr>
    </w:tbl>
    <w:p w:rsidR="00937C48" w:rsidRDefault="00937C48" w:rsidP="00937C48">
      <w:pPr>
        <w:tabs>
          <w:tab w:val="left" w:pos="1089"/>
        </w:tabs>
        <w:rPr>
          <w:rFonts w:ascii="Tahoma" w:hAnsi="Tahoma" w:cs="Tahoma"/>
          <w:sz w:val="20"/>
          <w:szCs w:val="20"/>
        </w:rPr>
      </w:pPr>
    </w:p>
    <w:p w:rsidR="00927B60" w:rsidRDefault="008C7913" w:rsidP="001F0C11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Собственные средства </w:t>
      </w:r>
      <w:r w:rsidR="00927B60">
        <w:rPr>
          <w:rFonts w:ascii="Tahoma" w:hAnsi="Tahoma" w:cs="Tahoma"/>
          <w:color w:val="666666"/>
          <w:sz w:val="20"/>
          <w:szCs w:val="20"/>
        </w:rPr>
        <w:t>Группы вырос</w:t>
      </w:r>
      <w:r>
        <w:rPr>
          <w:rFonts w:ascii="Tahoma" w:hAnsi="Tahoma" w:cs="Tahoma"/>
          <w:color w:val="666666"/>
          <w:sz w:val="20"/>
          <w:szCs w:val="20"/>
        </w:rPr>
        <w:t>ли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на </w:t>
      </w:r>
      <w:r w:rsidR="00DB794B">
        <w:rPr>
          <w:rFonts w:ascii="Tahoma" w:hAnsi="Tahoma" w:cs="Tahoma"/>
          <w:color w:val="666666"/>
          <w:sz w:val="20"/>
          <w:szCs w:val="20"/>
        </w:rPr>
        <w:t>5</w:t>
      </w:r>
      <w:r w:rsidR="007734D9">
        <w:rPr>
          <w:rFonts w:ascii="Tahoma" w:hAnsi="Tahoma" w:cs="Tahoma"/>
          <w:color w:val="666666"/>
          <w:sz w:val="20"/>
          <w:szCs w:val="20"/>
        </w:rPr>
        <w:t>,</w:t>
      </w:r>
      <w:r w:rsidR="00DB794B">
        <w:rPr>
          <w:rFonts w:ascii="Tahoma" w:hAnsi="Tahoma" w:cs="Tahoma"/>
          <w:color w:val="666666"/>
          <w:sz w:val="20"/>
          <w:szCs w:val="20"/>
        </w:rPr>
        <w:t>2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0A1412">
        <w:rPr>
          <w:rFonts w:ascii="Tahoma" w:hAnsi="Tahoma" w:cs="Tahoma"/>
          <w:color w:val="666666"/>
          <w:sz w:val="20"/>
          <w:szCs w:val="20"/>
        </w:rPr>
        <w:t>4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DB794B">
        <w:rPr>
          <w:rFonts w:ascii="Tahoma" w:hAnsi="Tahoma" w:cs="Tahoma"/>
          <w:color w:val="666666"/>
          <w:sz w:val="20"/>
          <w:szCs w:val="20"/>
        </w:rPr>
        <w:t>7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года относительно предыдущего квартала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за счет 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нераспределенной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прибыли </w:t>
      </w:r>
      <w:r w:rsidR="000D5A24" w:rsidRPr="005158EF">
        <w:rPr>
          <w:rFonts w:ascii="Tahoma" w:hAnsi="Tahoma" w:cs="Tahoma"/>
          <w:color w:val="666666"/>
          <w:sz w:val="20"/>
          <w:szCs w:val="20"/>
        </w:rPr>
        <w:t xml:space="preserve">4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квартала </w:t>
      </w:r>
      <w:r w:rsidR="00927B60">
        <w:rPr>
          <w:rFonts w:ascii="Tahoma" w:hAnsi="Tahoma" w:cs="Tahoma"/>
          <w:color w:val="666666"/>
          <w:sz w:val="20"/>
          <w:szCs w:val="20"/>
        </w:rPr>
        <w:t>и составил</w:t>
      </w:r>
      <w:r>
        <w:rPr>
          <w:rFonts w:ascii="Tahoma" w:hAnsi="Tahoma" w:cs="Tahoma"/>
          <w:color w:val="666666"/>
          <w:sz w:val="20"/>
          <w:szCs w:val="20"/>
        </w:rPr>
        <w:t>и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3</w:t>
      </w:r>
      <w:r w:rsidR="00DB794B">
        <w:rPr>
          <w:rFonts w:ascii="Tahoma" w:hAnsi="Tahoma" w:cs="Tahoma"/>
          <w:color w:val="666666"/>
          <w:sz w:val="20"/>
          <w:szCs w:val="20"/>
        </w:rPr>
        <w:t>,4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трлн</w:t>
      </w:r>
      <w:r w:rsidR="003E0344">
        <w:rPr>
          <w:rFonts w:ascii="Tahoma" w:hAnsi="Tahoma" w:cs="Tahoma"/>
          <w:color w:val="666666"/>
          <w:sz w:val="20"/>
          <w:szCs w:val="20"/>
        </w:rPr>
        <w:t>.</w:t>
      </w:r>
      <w:r w:rsidR="00927B6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E0344">
        <w:rPr>
          <w:rFonts w:ascii="Tahoma" w:hAnsi="Tahoma" w:cs="Tahoma"/>
          <w:color w:val="666666"/>
          <w:sz w:val="20"/>
          <w:szCs w:val="20"/>
        </w:rPr>
        <w:t>р</w:t>
      </w:r>
      <w:r w:rsidR="00927B60">
        <w:rPr>
          <w:rFonts w:ascii="Tahoma" w:hAnsi="Tahoma" w:cs="Tahoma"/>
          <w:color w:val="666666"/>
          <w:sz w:val="20"/>
          <w:szCs w:val="20"/>
        </w:rPr>
        <w:t>уб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DB794B" w:rsidRDefault="00DB794B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887D90">
        <w:rPr>
          <w:rFonts w:ascii="Tahoma" w:hAnsi="Tahoma" w:cs="Tahoma"/>
          <w:b/>
          <w:color w:val="666666"/>
          <w:sz w:val="20"/>
          <w:szCs w:val="20"/>
        </w:rPr>
        <w:t>Общий</w:t>
      </w:r>
      <w:r w:rsidRPr="007C5C46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887D90">
        <w:rPr>
          <w:rFonts w:ascii="Tahoma" w:hAnsi="Tahoma" w:cs="Tahoma"/>
          <w:b/>
          <w:color w:val="666666"/>
          <w:sz w:val="20"/>
          <w:szCs w:val="20"/>
        </w:rPr>
        <w:t>капитал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887D90">
        <w:rPr>
          <w:rFonts w:ascii="Tahoma" w:hAnsi="Tahoma" w:cs="Tahoma"/>
          <w:color w:val="666666"/>
          <w:sz w:val="20"/>
          <w:szCs w:val="20"/>
        </w:rPr>
        <w:t>Группы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согласно стандартам Базель </w:t>
      </w:r>
      <w:r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 w:rsidRPr="00887D90">
        <w:rPr>
          <w:rFonts w:ascii="Tahoma" w:hAnsi="Tahoma" w:cs="Tahoma"/>
          <w:color w:val="666666"/>
          <w:sz w:val="20"/>
          <w:szCs w:val="20"/>
        </w:rPr>
        <w:t xml:space="preserve"> вырос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887D90">
        <w:rPr>
          <w:rFonts w:ascii="Tahoma" w:hAnsi="Tahoma" w:cs="Tahoma"/>
          <w:color w:val="666666"/>
          <w:sz w:val="20"/>
          <w:szCs w:val="20"/>
        </w:rPr>
        <w:t>на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4,3% до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3,</w:t>
      </w:r>
      <w:r>
        <w:rPr>
          <w:rFonts w:ascii="Tahoma" w:hAnsi="Tahoma" w:cs="Tahoma"/>
          <w:color w:val="666666"/>
          <w:sz w:val="20"/>
          <w:szCs w:val="20"/>
        </w:rPr>
        <w:t>8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трлн</w:t>
      </w:r>
      <w:r w:rsidRPr="007C5C46">
        <w:rPr>
          <w:rFonts w:ascii="Tahoma" w:hAnsi="Tahoma" w:cs="Tahoma"/>
          <w:color w:val="666666"/>
          <w:sz w:val="20"/>
          <w:szCs w:val="20"/>
        </w:rPr>
        <w:t xml:space="preserve">. </w:t>
      </w:r>
      <w:r>
        <w:rPr>
          <w:rFonts w:ascii="Tahoma" w:hAnsi="Tahoma" w:cs="Tahoma"/>
          <w:color w:val="666666"/>
          <w:sz w:val="20"/>
          <w:szCs w:val="20"/>
        </w:rPr>
        <w:t>руб. в 4 квартале 2017 года, преимущественно</w:t>
      </w:r>
      <w:r w:rsidRPr="00887D90">
        <w:rPr>
          <w:rFonts w:ascii="Tahoma" w:hAnsi="Tahoma" w:cs="Tahoma"/>
          <w:color w:val="666666"/>
          <w:sz w:val="20"/>
          <w:szCs w:val="20"/>
        </w:rPr>
        <w:t xml:space="preserve"> за счет нераспределенной прибыли.</w:t>
      </w:r>
    </w:p>
    <w:p w:rsidR="00DB794B" w:rsidRPr="005512D2" w:rsidRDefault="00DB794B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32704A" w:rsidRDefault="00DB794B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D6D2A">
        <w:rPr>
          <w:rFonts w:ascii="Tahoma" w:hAnsi="Tahoma" w:cs="Tahoma"/>
          <w:b/>
          <w:color w:val="666666"/>
          <w:sz w:val="20"/>
          <w:szCs w:val="20"/>
        </w:rPr>
        <w:t>Активы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0D6D2A">
        <w:rPr>
          <w:rFonts w:ascii="Tahoma" w:hAnsi="Tahoma" w:cs="Tahoma"/>
          <w:b/>
          <w:color w:val="666666"/>
          <w:sz w:val="20"/>
          <w:szCs w:val="20"/>
        </w:rPr>
        <w:t>Группы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,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взвешенные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с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учетом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риска</w:t>
      </w:r>
      <w:r w:rsidRPr="00E55451">
        <w:rPr>
          <w:rFonts w:ascii="Tahoma" w:hAnsi="Tahoma" w:cs="Tahoma"/>
          <w:b/>
          <w:color w:val="666666"/>
          <w:sz w:val="20"/>
          <w:szCs w:val="20"/>
        </w:rPr>
        <w:t xml:space="preserve">, </w:t>
      </w:r>
      <w:r w:rsidRPr="007C5C46">
        <w:rPr>
          <w:rFonts w:ascii="Tahoma" w:hAnsi="Tahoma" w:cs="Tahoma"/>
          <w:color w:val="666666"/>
          <w:sz w:val="20"/>
          <w:szCs w:val="20"/>
        </w:rPr>
        <w:t>вы</w:t>
      </w:r>
      <w:r>
        <w:rPr>
          <w:rFonts w:ascii="Tahoma" w:hAnsi="Tahoma" w:cs="Tahoma"/>
          <w:color w:val="666666"/>
          <w:sz w:val="20"/>
          <w:szCs w:val="20"/>
        </w:rPr>
        <w:t>росли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на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 w:rsidR="0032704A">
        <w:rPr>
          <w:rFonts w:ascii="Tahoma" w:hAnsi="Tahoma" w:cs="Tahoma"/>
          <w:color w:val="666666"/>
          <w:sz w:val="20"/>
          <w:szCs w:val="20"/>
        </w:rPr>
        <w:t>2</w:t>
      </w:r>
      <w:r>
        <w:rPr>
          <w:rFonts w:ascii="Tahoma" w:hAnsi="Tahoma" w:cs="Tahoma"/>
          <w:color w:val="666666"/>
          <w:sz w:val="20"/>
          <w:szCs w:val="20"/>
        </w:rPr>
        <w:t>,</w:t>
      </w:r>
      <w:r w:rsidR="0032704A">
        <w:rPr>
          <w:rFonts w:ascii="Tahoma" w:hAnsi="Tahoma" w:cs="Tahoma"/>
          <w:color w:val="666666"/>
          <w:sz w:val="20"/>
          <w:szCs w:val="20"/>
        </w:rPr>
        <w:t>2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% </w:t>
      </w:r>
      <w:r w:rsidR="0032704A">
        <w:rPr>
          <w:rFonts w:ascii="Tahoma" w:hAnsi="Tahoma" w:cs="Tahoma"/>
          <w:color w:val="666666"/>
          <w:sz w:val="20"/>
          <w:szCs w:val="20"/>
        </w:rPr>
        <w:t>за 4 квартал 2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017 </w:t>
      </w:r>
      <w:r>
        <w:rPr>
          <w:rFonts w:ascii="Tahoma" w:hAnsi="Tahoma" w:cs="Tahoma"/>
          <w:color w:val="666666"/>
          <w:sz w:val="20"/>
          <w:szCs w:val="20"/>
        </w:rPr>
        <w:t xml:space="preserve">года до </w:t>
      </w:r>
      <w:r w:rsidRPr="00E55451">
        <w:rPr>
          <w:rFonts w:ascii="Tahoma" w:hAnsi="Tahoma" w:cs="Tahoma"/>
          <w:color w:val="666666"/>
          <w:sz w:val="20"/>
          <w:szCs w:val="20"/>
        </w:rPr>
        <w:t>2</w:t>
      </w:r>
      <w:r w:rsidR="0032704A">
        <w:rPr>
          <w:rFonts w:ascii="Tahoma" w:hAnsi="Tahoma" w:cs="Tahoma"/>
          <w:color w:val="666666"/>
          <w:sz w:val="20"/>
          <w:szCs w:val="20"/>
        </w:rPr>
        <w:t>9</w:t>
      </w:r>
      <w:r w:rsidRPr="00E55451">
        <w:rPr>
          <w:rFonts w:ascii="Tahoma" w:hAnsi="Tahoma" w:cs="Tahoma"/>
          <w:color w:val="666666"/>
          <w:sz w:val="20"/>
          <w:szCs w:val="20"/>
        </w:rPr>
        <w:t>,</w:t>
      </w:r>
      <w:r w:rsidR="0032704A">
        <w:rPr>
          <w:rFonts w:ascii="Tahoma" w:hAnsi="Tahoma" w:cs="Tahoma"/>
          <w:color w:val="666666"/>
          <w:sz w:val="20"/>
          <w:szCs w:val="20"/>
        </w:rPr>
        <w:t>5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трлн. руб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., </w:t>
      </w:r>
      <w:r w:rsidR="0032704A">
        <w:rPr>
          <w:rFonts w:ascii="Tahoma" w:hAnsi="Tahoma" w:cs="Tahoma"/>
          <w:color w:val="666666"/>
          <w:sz w:val="20"/>
          <w:szCs w:val="20"/>
        </w:rPr>
        <w:t xml:space="preserve">в основном за счет увеличения операционного риска в связи со сдвигом расчетного периода на трехлетнем горизонте (включение в расчет </w:t>
      </w:r>
      <w:r w:rsidR="008C7913">
        <w:rPr>
          <w:rFonts w:ascii="Tahoma" w:hAnsi="Tahoma" w:cs="Tahoma"/>
          <w:color w:val="666666"/>
          <w:sz w:val="20"/>
          <w:szCs w:val="20"/>
        </w:rPr>
        <w:t xml:space="preserve">дохода </w:t>
      </w:r>
      <w:r w:rsidR="0032704A">
        <w:rPr>
          <w:rFonts w:ascii="Tahoma" w:hAnsi="Tahoma" w:cs="Tahoma"/>
          <w:color w:val="666666"/>
          <w:sz w:val="20"/>
          <w:szCs w:val="20"/>
        </w:rPr>
        <w:t>за 2017 год).</w:t>
      </w:r>
    </w:p>
    <w:p w:rsidR="0032704A" w:rsidRDefault="0032704A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32704A" w:rsidRDefault="00DB794B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2704A">
        <w:rPr>
          <w:rFonts w:ascii="Tahoma" w:hAnsi="Tahoma" w:cs="Tahoma"/>
          <w:b/>
          <w:color w:val="666666"/>
          <w:sz w:val="20"/>
          <w:szCs w:val="20"/>
        </w:rPr>
        <w:t>Коэффициент достаточности базового капитала 1-го уровня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32704A">
        <w:rPr>
          <w:rFonts w:ascii="Tahoma" w:hAnsi="Tahoma" w:cs="Tahoma"/>
          <w:color w:val="666666"/>
          <w:sz w:val="20"/>
          <w:szCs w:val="20"/>
        </w:rPr>
        <w:t>вырос на 4</w:t>
      </w:r>
      <w:r>
        <w:rPr>
          <w:rFonts w:ascii="Tahoma" w:hAnsi="Tahoma" w:cs="Tahoma"/>
          <w:color w:val="666666"/>
          <w:sz w:val="20"/>
          <w:szCs w:val="20"/>
        </w:rPr>
        <w:t>0</w:t>
      </w:r>
      <w:r w:rsidRPr="00E55451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базисных пунктов до </w:t>
      </w:r>
      <w:r w:rsidRPr="00E55451">
        <w:rPr>
          <w:rFonts w:ascii="Tahoma" w:hAnsi="Tahoma" w:cs="Tahoma"/>
          <w:color w:val="666666"/>
          <w:sz w:val="20"/>
          <w:szCs w:val="20"/>
        </w:rPr>
        <w:t>1</w:t>
      </w:r>
      <w:r>
        <w:rPr>
          <w:rFonts w:ascii="Tahoma" w:hAnsi="Tahoma" w:cs="Tahoma"/>
          <w:color w:val="666666"/>
          <w:sz w:val="20"/>
          <w:szCs w:val="20"/>
        </w:rPr>
        <w:t>1</w:t>
      </w:r>
      <w:r w:rsidRPr="00E55451">
        <w:rPr>
          <w:rFonts w:ascii="Tahoma" w:hAnsi="Tahoma" w:cs="Tahoma"/>
          <w:color w:val="666666"/>
          <w:sz w:val="20"/>
          <w:szCs w:val="20"/>
        </w:rPr>
        <w:t>,</w:t>
      </w:r>
      <w:r w:rsidR="0032704A">
        <w:rPr>
          <w:rFonts w:ascii="Tahoma" w:hAnsi="Tahoma" w:cs="Tahoma"/>
          <w:color w:val="666666"/>
          <w:sz w:val="20"/>
          <w:szCs w:val="20"/>
        </w:rPr>
        <w:t>4</w:t>
      </w:r>
      <w:r w:rsidRPr="00E55451">
        <w:rPr>
          <w:rFonts w:ascii="Tahoma" w:hAnsi="Tahoma" w:cs="Tahoma"/>
          <w:color w:val="666666"/>
          <w:sz w:val="20"/>
          <w:szCs w:val="20"/>
        </w:rPr>
        <w:t>%</w:t>
      </w:r>
      <w:r>
        <w:rPr>
          <w:rFonts w:ascii="Tahoma" w:hAnsi="Tahoma" w:cs="Tahoma"/>
          <w:color w:val="666666"/>
          <w:sz w:val="20"/>
          <w:szCs w:val="20"/>
        </w:rPr>
        <w:t xml:space="preserve"> за </w:t>
      </w:r>
      <w:r w:rsidR="0032704A">
        <w:rPr>
          <w:rFonts w:ascii="Tahoma" w:hAnsi="Tahoma" w:cs="Tahoma"/>
          <w:color w:val="666666"/>
          <w:sz w:val="20"/>
          <w:szCs w:val="20"/>
        </w:rPr>
        <w:t xml:space="preserve">4 квартал </w:t>
      </w:r>
      <w:r>
        <w:rPr>
          <w:rFonts w:ascii="Tahoma" w:hAnsi="Tahoma" w:cs="Tahoma"/>
          <w:color w:val="666666"/>
          <w:sz w:val="20"/>
          <w:szCs w:val="20"/>
        </w:rPr>
        <w:t xml:space="preserve">2017 года. </w:t>
      </w:r>
    </w:p>
    <w:p w:rsidR="0097794A" w:rsidRDefault="0097794A" w:rsidP="00DB794B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DB794B" w:rsidRPr="00E55451" w:rsidRDefault="00DB794B" w:rsidP="00DB794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2704A">
        <w:rPr>
          <w:rFonts w:ascii="Tahoma" w:hAnsi="Tahoma" w:cs="Tahoma"/>
          <w:b/>
          <w:color w:val="666666"/>
          <w:sz w:val="20"/>
          <w:szCs w:val="20"/>
        </w:rPr>
        <w:t>Коэффициент достаточности общего капитала</w:t>
      </w:r>
      <w:r>
        <w:rPr>
          <w:rFonts w:ascii="Tahoma" w:hAnsi="Tahoma" w:cs="Tahoma"/>
          <w:color w:val="666666"/>
          <w:sz w:val="20"/>
          <w:szCs w:val="20"/>
        </w:rPr>
        <w:t xml:space="preserve"> (Базель </w:t>
      </w:r>
      <w:r>
        <w:rPr>
          <w:rFonts w:ascii="Tahoma" w:hAnsi="Tahoma" w:cs="Tahoma"/>
          <w:color w:val="666666"/>
          <w:sz w:val="20"/>
          <w:szCs w:val="20"/>
          <w:lang w:val="en-US"/>
        </w:rPr>
        <w:t>III</w:t>
      </w:r>
      <w:r w:rsidRPr="00927B60">
        <w:rPr>
          <w:rFonts w:ascii="Tahoma" w:hAnsi="Tahoma" w:cs="Tahoma"/>
          <w:color w:val="666666"/>
          <w:sz w:val="20"/>
          <w:szCs w:val="20"/>
        </w:rPr>
        <w:t>)</w:t>
      </w:r>
      <w:r>
        <w:rPr>
          <w:rFonts w:ascii="Tahoma" w:hAnsi="Tahoma" w:cs="Tahoma"/>
          <w:color w:val="666666"/>
          <w:sz w:val="20"/>
          <w:szCs w:val="20"/>
        </w:rPr>
        <w:t xml:space="preserve"> вырос на </w:t>
      </w:r>
      <w:r w:rsidR="0032704A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>0 базисных пунктов за</w:t>
      </w:r>
      <w:r w:rsidR="0032704A">
        <w:rPr>
          <w:rFonts w:ascii="Tahoma" w:hAnsi="Tahoma" w:cs="Tahoma"/>
          <w:color w:val="666666"/>
          <w:sz w:val="20"/>
          <w:szCs w:val="20"/>
        </w:rPr>
        <w:t xml:space="preserve"> 4 квартал </w:t>
      </w:r>
      <w:r>
        <w:rPr>
          <w:rFonts w:ascii="Tahoma" w:hAnsi="Tahoma" w:cs="Tahoma"/>
          <w:color w:val="666666"/>
          <w:sz w:val="20"/>
          <w:szCs w:val="20"/>
        </w:rPr>
        <w:t xml:space="preserve">2017 года до </w:t>
      </w:r>
      <w:r w:rsidRPr="00E55451">
        <w:rPr>
          <w:rFonts w:ascii="Tahoma" w:hAnsi="Tahoma" w:cs="Tahoma"/>
          <w:color w:val="666666"/>
          <w:sz w:val="20"/>
          <w:szCs w:val="20"/>
        </w:rPr>
        <w:t>1</w:t>
      </w:r>
      <w:r w:rsidR="0032704A">
        <w:rPr>
          <w:rFonts w:ascii="Tahoma" w:hAnsi="Tahoma" w:cs="Tahoma"/>
          <w:color w:val="666666"/>
          <w:sz w:val="20"/>
          <w:szCs w:val="20"/>
        </w:rPr>
        <w:t>3</w:t>
      </w:r>
      <w:r w:rsidRPr="00E55451">
        <w:rPr>
          <w:rFonts w:ascii="Tahoma" w:hAnsi="Tahoma" w:cs="Tahoma"/>
          <w:color w:val="666666"/>
          <w:sz w:val="20"/>
          <w:szCs w:val="20"/>
        </w:rPr>
        <w:t>,</w:t>
      </w:r>
      <w:r w:rsidR="0032704A">
        <w:rPr>
          <w:rFonts w:ascii="Tahoma" w:hAnsi="Tahoma" w:cs="Tahoma"/>
          <w:color w:val="666666"/>
          <w:sz w:val="20"/>
          <w:szCs w:val="20"/>
        </w:rPr>
        <w:t>0</w:t>
      </w:r>
      <w:r w:rsidRPr="00E55451">
        <w:rPr>
          <w:rFonts w:ascii="Tahoma" w:hAnsi="Tahoma" w:cs="Tahoma"/>
          <w:color w:val="666666"/>
          <w:sz w:val="20"/>
          <w:szCs w:val="20"/>
        </w:rPr>
        <w:t>%</w:t>
      </w:r>
      <w:r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DB794B" w:rsidRDefault="00DB794B" w:rsidP="00105D7A">
      <w:pPr>
        <w:rPr>
          <w:rFonts w:ascii="Tahoma" w:hAnsi="Tahoma" w:cs="Tahoma"/>
          <w:sz w:val="20"/>
          <w:szCs w:val="20"/>
        </w:rPr>
      </w:pPr>
    </w:p>
    <w:p w:rsidR="00105D7A" w:rsidRDefault="00105D7A" w:rsidP="00D150B8">
      <w:pPr>
        <w:autoSpaceDE w:val="0"/>
        <w:autoSpaceDN w:val="0"/>
        <w:adjustRightInd w:val="0"/>
        <w:spacing w:before="120"/>
      </w:pPr>
      <w:r w:rsidRPr="00105D7A">
        <w:rPr>
          <w:rFonts w:ascii="Tahoma" w:hAnsi="Tahoma" w:cs="Tahoma"/>
          <w:vertAlign w:val="superscript"/>
        </w:rPr>
        <w:t xml:space="preserve"> </w:t>
      </w:r>
    </w:p>
    <w:p w:rsidR="00BF5A19" w:rsidRPr="00105D7A" w:rsidRDefault="00BF5A19" w:rsidP="00105D7A">
      <w:pPr>
        <w:tabs>
          <w:tab w:val="left" w:pos="1089"/>
        </w:tabs>
        <w:rPr>
          <w:rFonts w:ascii="Tahoma" w:hAnsi="Tahoma" w:cs="Tahoma"/>
          <w:sz w:val="20"/>
          <w:szCs w:val="20"/>
        </w:rPr>
      </w:pPr>
    </w:p>
    <w:sectPr w:rsidR="00BF5A19" w:rsidRPr="00105D7A" w:rsidSect="00B25D7E">
      <w:footerReference w:type="default" r:id="rId9"/>
      <w:pgSz w:w="11906" w:h="16838"/>
      <w:pgMar w:top="706" w:right="850" w:bottom="113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DB" w:rsidRDefault="00AE6DDB" w:rsidP="000A0EF9">
      <w:r>
        <w:separator/>
      </w:r>
    </w:p>
  </w:endnote>
  <w:endnote w:type="continuationSeparator" w:id="0">
    <w:p w:rsidR="00AE6DDB" w:rsidRDefault="00AE6DDB" w:rsidP="000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5371"/>
      <w:docPartObj>
        <w:docPartGallery w:val="Page Numbers (Bottom of Page)"/>
        <w:docPartUnique/>
      </w:docPartObj>
    </w:sdtPr>
    <w:sdtEndPr/>
    <w:sdtContent>
      <w:p w:rsidR="00257CDD" w:rsidRDefault="00257CD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94">
          <w:rPr>
            <w:noProof/>
          </w:rPr>
          <w:t>5</w:t>
        </w:r>
        <w:r>
          <w:fldChar w:fldCharType="end"/>
        </w:r>
      </w:p>
    </w:sdtContent>
  </w:sdt>
  <w:p w:rsidR="00257CDD" w:rsidRDefault="00257C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DB" w:rsidRDefault="00AE6DDB" w:rsidP="000A0EF9">
      <w:r>
        <w:separator/>
      </w:r>
    </w:p>
  </w:footnote>
  <w:footnote w:type="continuationSeparator" w:id="0">
    <w:p w:rsidR="00AE6DDB" w:rsidRDefault="00AE6DDB" w:rsidP="000A0EF9">
      <w:r>
        <w:continuationSeparator/>
      </w:r>
    </w:p>
  </w:footnote>
  <w:footnote w:id="1">
    <w:p w:rsidR="00257CDD" w:rsidRPr="00666490" w:rsidRDefault="00257CDD" w:rsidP="00937C48">
      <w:pPr>
        <w:pStyle w:val="af3"/>
        <w:jc w:val="both"/>
        <w:rPr>
          <w:sz w:val="14"/>
          <w:szCs w:val="14"/>
        </w:rPr>
      </w:pPr>
      <w:r w:rsidRPr="00666490">
        <w:rPr>
          <w:rStyle w:val="af5"/>
          <w:sz w:val="14"/>
          <w:szCs w:val="14"/>
        </w:rPr>
        <w:footnoteRef/>
      </w:r>
      <w:r w:rsidRPr="00666490">
        <w:rPr>
          <w:sz w:val="14"/>
          <w:szCs w:val="14"/>
        </w:rPr>
        <w:t xml:space="preserve"> </w:t>
      </w:r>
      <w:r w:rsidRPr="00666490">
        <w:rPr>
          <w:rFonts w:ascii="Tahoma" w:hAnsi="Tahoma" w:cs="Tahoma"/>
          <w:color w:val="808080" w:themeColor="background1" w:themeShade="80"/>
          <w:sz w:val="14"/>
          <w:szCs w:val="14"/>
        </w:rPr>
        <w:t>Прочие непроцентные доходы включают в себя: (Расходы за вычетом доходов) / доходы за вычетом расходов по операциям с торговыми ценными бумагами; Доходы за вычетом расходов по операциям с ценными бумагами, отнесенными в категорию переоцениваемых по справедливой стоимости через счета прибылей и убытков; Доходы за вычетом расходов по операциям с инвестиционными ценными бумагами, имеющимися в наличии для продажи; Обесценение инвестиционных ценных бумаг, имеющихся в наличии для продажи; Доходы за вычетом расходов / (расходы за вычетом доходов) по операциям с иностранной валютой, валютными производными финансовыми инструментами и от переоценки иностранной валюты; Доходы за вычетом расходов по операциям с драгоценными металлами,  производными финансовыми инструментами с драгоценными металлами и от переоценки счетов в драгоценных металлах; (Расходы за вычетом доходов) / доходы за вычетом расходов по операциям с прочими производными финансовыми инструментами; Отрицательная переоценка офисной недвижимости; Обесценение основных средств и нематериальных активов; Обесценение деловой репутации; Доходы за вычетом расходов / (расходы за вычетом доходов) от первоначального признания финансовых инструментов, реструктуризации и продажи кредитов; Чистое создание прочих резервов; Выручка, полученная от непрофильных видов деятельности; Себестоимость продаж и прочие расходы по непрофильным видам деятельности; Чистые премии от страховой деятельности и деятельности пенсионного фонда; Чистые выплаты, заявленные убытки, изменение обязательств по договорам страхования и пенсионным договорам и аквизиционные расходы от страховой деятельности и деятельности пенсионного фонда; Прочие чистые операционные доходы</w:t>
      </w:r>
    </w:p>
    <w:p w:rsidR="00257CDD" w:rsidRPr="00666490" w:rsidRDefault="00257CDD" w:rsidP="00DE40AA">
      <w:pPr>
        <w:pStyle w:val="af3"/>
        <w:jc w:val="both"/>
        <w:rPr>
          <w:sz w:val="14"/>
          <w:szCs w:val="14"/>
        </w:rPr>
      </w:pPr>
    </w:p>
  </w:footnote>
  <w:footnote w:id="2">
    <w:p w:rsidR="00257CDD" w:rsidRPr="00666490" w:rsidRDefault="00257CDD">
      <w:pPr>
        <w:pStyle w:val="af3"/>
        <w:rPr>
          <w:rFonts w:ascii="Tahoma" w:hAnsi="Tahoma" w:cs="Tahoma"/>
          <w:color w:val="808080" w:themeColor="background1" w:themeShade="80"/>
          <w:sz w:val="14"/>
          <w:szCs w:val="14"/>
        </w:rPr>
      </w:pPr>
      <w:r w:rsidRPr="00666490">
        <w:rPr>
          <w:rStyle w:val="af5"/>
          <w:sz w:val="14"/>
          <w:szCs w:val="14"/>
        </w:rPr>
        <w:footnoteRef/>
      </w:r>
      <w:r w:rsidRPr="00666490">
        <w:rPr>
          <w:sz w:val="14"/>
          <w:szCs w:val="14"/>
        </w:rPr>
        <w:t xml:space="preserve"> </w:t>
      </w:r>
      <w:r w:rsidRPr="00666490">
        <w:rPr>
          <w:rFonts w:ascii="Tahoma" w:hAnsi="Tahoma" w:cs="Tahoma"/>
          <w:color w:val="808080" w:themeColor="background1" w:themeShade="80"/>
          <w:sz w:val="14"/>
          <w:szCs w:val="14"/>
        </w:rPr>
        <w:t>неработающие кредиты более  90 дней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A3"/>
    <w:multiLevelType w:val="hybridMultilevel"/>
    <w:tmpl w:val="F97A8840"/>
    <w:lvl w:ilvl="0" w:tplc="678A8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4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4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8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D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C35A8"/>
    <w:multiLevelType w:val="hybridMultilevel"/>
    <w:tmpl w:val="5A20DA74"/>
    <w:lvl w:ilvl="0" w:tplc="1E88D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C9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8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0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E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29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2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E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1C09F6"/>
    <w:multiLevelType w:val="hybridMultilevel"/>
    <w:tmpl w:val="96ACC394"/>
    <w:lvl w:ilvl="0" w:tplc="7DF47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05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5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E3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49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E5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6C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16B94"/>
    <w:multiLevelType w:val="multilevel"/>
    <w:tmpl w:val="91D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D35023"/>
    <w:multiLevelType w:val="hybridMultilevel"/>
    <w:tmpl w:val="3E688DCA"/>
    <w:lvl w:ilvl="0" w:tplc="65F6F6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1223EF"/>
    <w:multiLevelType w:val="hybridMultilevel"/>
    <w:tmpl w:val="945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54EA"/>
    <w:multiLevelType w:val="hybridMultilevel"/>
    <w:tmpl w:val="C0A861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516834"/>
    <w:multiLevelType w:val="hybridMultilevel"/>
    <w:tmpl w:val="DC5C4F0C"/>
    <w:lvl w:ilvl="0" w:tplc="E5DE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2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0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D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8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2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D52855"/>
    <w:multiLevelType w:val="hybridMultilevel"/>
    <w:tmpl w:val="1D72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96514"/>
    <w:multiLevelType w:val="hybridMultilevel"/>
    <w:tmpl w:val="0D92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D735B"/>
    <w:multiLevelType w:val="hybridMultilevel"/>
    <w:tmpl w:val="6F00E9F4"/>
    <w:lvl w:ilvl="0" w:tplc="C956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6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E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233421"/>
    <w:multiLevelType w:val="hybridMultilevel"/>
    <w:tmpl w:val="4DA2BF48"/>
    <w:lvl w:ilvl="0" w:tplc="BE38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E1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C7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07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0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E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E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C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E60304"/>
    <w:multiLevelType w:val="hybridMultilevel"/>
    <w:tmpl w:val="D86A0068"/>
    <w:lvl w:ilvl="0" w:tplc="0A6A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6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2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8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61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E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6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2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5B17AB"/>
    <w:multiLevelType w:val="hybridMultilevel"/>
    <w:tmpl w:val="6AA6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31EDD"/>
    <w:multiLevelType w:val="hybridMultilevel"/>
    <w:tmpl w:val="5CE061F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6AC259A7"/>
    <w:multiLevelType w:val="hybridMultilevel"/>
    <w:tmpl w:val="2D384394"/>
    <w:lvl w:ilvl="0" w:tplc="DA463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04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9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D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5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9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AD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2C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F5100"/>
    <w:multiLevelType w:val="multilevel"/>
    <w:tmpl w:val="4D4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73A4C"/>
    <w:multiLevelType w:val="hybridMultilevel"/>
    <w:tmpl w:val="5188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2B"/>
    <w:rsid w:val="0000095F"/>
    <w:rsid w:val="000030C6"/>
    <w:rsid w:val="000041BF"/>
    <w:rsid w:val="00005999"/>
    <w:rsid w:val="00006121"/>
    <w:rsid w:val="00007AE3"/>
    <w:rsid w:val="0001042B"/>
    <w:rsid w:val="00010565"/>
    <w:rsid w:val="00013843"/>
    <w:rsid w:val="00013B79"/>
    <w:rsid w:val="00013D20"/>
    <w:rsid w:val="000146EB"/>
    <w:rsid w:val="00014712"/>
    <w:rsid w:val="0001685E"/>
    <w:rsid w:val="00017A04"/>
    <w:rsid w:val="0002150F"/>
    <w:rsid w:val="00023F97"/>
    <w:rsid w:val="00024D28"/>
    <w:rsid w:val="000258CB"/>
    <w:rsid w:val="000302CB"/>
    <w:rsid w:val="00030D29"/>
    <w:rsid w:val="00030ED0"/>
    <w:rsid w:val="00031C9B"/>
    <w:rsid w:val="00031D65"/>
    <w:rsid w:val="0003455F"/>
    <w:rsid w:val="00035781"/>
    <w:rsid w:val="00035ACB"/>
    <w:rsid w:val="00035C03"/>
    <w:rsid w:val="00037C69"/>
    <w:rsid w:val="00037CF4"/>
    <w:rsid w:val="000411E9"/>
    <w:rsid w:val="000417C8"/>
    <w:rsid w:val="000422C8"/>
    <w:rsid w:val="00045345"/>
    <w:rsid w:val="000455A5"/>
    <w:rsid w:val="00050E33"/>
    <w:rsid w:val="000526DD"/>
    <w:rsid w:val="00053667"/>
    <w:rsid w:val="00053C99"/>
    <w:rsid w:val="000544F0"/>
    <w:rsid w:val="0005488F"/>
    <w:rsid w:val="0005605A"/>
    <w:rsid w:val="000569C9"/>
    <w:rsid w:val="0005736A"/>
    <w:rsid w:val="00057843"/>
    <w:rsid w:val="00061794"/>
    <w:rsid w:val="000625DD"/>
    <w:rsid w:val="00062B51"/>
    <w:rsid w:val="00065075"/>
    <w:rsid w:val="00066E29"/>
    <w:rsid w:val="000670A1"/>
    <w:rsid w:val="00067CA6"/>
    <w:rsid w:val="00070182"/>
    <w:rsid w:val="00070948"/>
    <w:rsid w:val="00071D93"/>
    <w:rsid w:val="0007372A"/>
    <w:rsid w:val="000757DF"/>
    <w:rsid w:val="00075A66"/>
    <w:rsid w:val="00076FB3"/>
    <w:rsid w:val="000773A1"/>
    <w:rsid w:val="00081FC6"/>
    <w:rsid w:val="00082A40"/>
    <w:rsid w:val="00082C7F"/>
    <w:rsid w:val="00083224"/>
    <w:rsid w:val="000908B1"/>
    <w:rsid w:val="00090EF6"/>
    <w:rsid w:val="00092A8C"/>
    <w:rsid w:val="00092B1A"/>
    <w:rsid w:val="0009338F"/>
    <w:rsid w:val="00096705"/>
    <w:rsid w:val="00097E28"/>
    <w:rsid w:val="000A0140"/>
    <w:rsid w:val="000A02EA"/>
    <w:rsid w:val="000A08F7"/>
    <w:rsid w:val="000A0EF9"/>
    <w:rsid w:val="000A1412"/>
    <w:rsid w:val="000A16EE"/>
    <w:rsid w:val="000A1C58"/>
    <w:rsid w:val="000A3BE2"/>
    <w:rsid w:val="000A3E3D"/>
    <w:rsid w:val="000A3FEA"/>
    <w:rsid w:val="000A4B63"/>
    <w:rsid w:val="000A6CFB"/>
    <w:rsid w:val="000A6E21"/>
    <w:rsid w:val="000B2CF6"/>
    <w:rsid w:val="000B4EB5"/>
    <w:rsid w:val="000B5380"/>
    <w:rsid w:val="000C152B"/>
    <w:rsid w:val="000C409B"/>
    <w:rsid w:val="000C7206"/>
    <w:rsid w:val="000C7A5E"/>
    <w:rsid w:val="000D00F6"/>
    <w:rsid w:val="000D23D4"/>
    <w:rsid w:val="000D2F7D"/>
    <w:rsid w:val="000D38D9"/>
    <w:rsid w:val="000D47E1"/>
    <w:rsid w:val="000D51A2"/>
    <w:rsid w:val="000D5A24"/>
    <w:rsid w:val="000D6D2A"/>
    <w:rsid w:val="000E0859"/>
    <w:rsid w:val="000E1010"/>
    <w:rsid w:val="000E566D"/>
    <w:rsid w:val="000E6DB8"/>
    <w:rsid w:val="000F20EE"/>
    <w:rsid w:val="000F2CF7"/>
    <w:rsid w:val="000F412B"/>
    <w:rsid w:val="000F424B"/>
    <w:rsid w:val="000F47AF"/>
    <w:rsid w:val="000F6C39"/>
    <w:rsid w:val="00100955"/>
    <w:rsid w:val="001021DF"/>
    <w:rsid w:val="00102CB7"/>
    <w:rsid w:val="001030E2"/>
    <w:rsid w:val="00103B89"/>
    <w:rsid w:val="00105497"/>
    <w:rsid w:val="00105A3C"/>
    <w:rsid w:val="00105D7A"/>
    <w:rsid w:val="001115E5"/>
    <w:rsid w:val="00113802"/>
    <w:rsid w:val="001149E7"/>
    <w:rsid w:val="00114D97"/>
    <w:rsid w:val="00114F82"/>
    <w:rsid w:val="001151B0"/>
    <w:rsid w:val="001157AD"/>
    <w:rsid w:val="00115A41"/>
    <w:rsid w:val="00116966"/>
    <w:rsid w:val="0011721D"/>
    <w:rsid w:val="0012073B"/>
    <w:rsid w:val="00122CEE"/>
    <w:rsid w:val="00124BFA"/>
    <w:rsid w:val="00125855"/>
    <w:rsid w:val="0012589D"/>
    <w:rsid w:val="00125CA7"/>
    <w:rsid w:val="001272D1"/>
    <w:rsid w:val="0013044D"/>
    <w:rsid w:val="001304F7"/>
    <w:rsid w:val="00131B6C"/>
    <w:rsid w:val="001321FB"/>
    <w:rsid w:val="001333D8"/>
    <w:rsid w:val="00133C52"/>
    <w:rsid w:val="00134156"/>
    <w:rsid w:val="001347C3"/>
    <w:rsid w:val="00134ED0"/>
    <w:rsid w:val="00135FDC"/>
    <w:rsid w:val="00141433"/>
    <w:rsid w:val="00142718"/>
    <w:rsid w:val="00143D17"/>
    <w:rsid w:val="00144731"/>
    <w:rsid w:val="00147583"/>
    <w:rsid w:val="00152AA5"/>
    <w:rsid w:val="00153151"/>
    <w:rsid w:val="0015442A"/>
    <w:rsid w:val="00154879"/>
    <w:rsid w:val="00155EE0"/>
    <w:rsid w:val="00157947"/>
    <w:rsid w:val="00157E83"/>
    <w:rsid w:val="00160A8C"/>
    <w:rsid w:val="00160B72"/>
    <w:rsid w:val="001615E3"/>
    <w:rsid w:val="00162239"/>
    <w:rsid w:val="001636FE"/>
    <w:rsid w:val="001646E8"/>
    <w:rsid w:val="001656AC"/>
    <w:rsid w:val="00165C1E"/>
    <w:rsid w:val="00165E3B"/>
    <w:rsid w:val="00167118"/>
    <w:rsid w:val="00170003"/>
    <w:rsid w:val="001714F3"/>
    <w:rsid w:val="00171792"/>
    <w:rsid w:val="00171B7D"/>
    <w:rsid w:val="00173975"/>
    <w:rsid w:val="00174920"/>
    <w:rsid w:val="00177289"/>
    <w:rsid w:val="00177F64"/>
    <w:rsid w:val="00182CE5"/>
    <w:rsid w:val="00182E19"/>
    <w:rsid w:val="0018304D"/>
    <w:rsid w:val="00183674"/>
    <w:rsid w:val="00184774"/>
    <w:rsid w:val="00184D54"/>
    <w:rsid w:val="00185A5A"/>
    <w:rsid w:val="0018648D"/>
    <w:rsid w:val="001900A6"/>
    <w:rsid w:val="001904AD"/>
    <w:rsid w:val="0019150C"/>
    <w:rsid w:val="00191E4C"/>
    <w:rsid w:val="00192743"/>
    <w:rsid w:val="00193393"/>
    <w:rsid w:val="0019370D"/>
    <w:rsid w:val="00194CEB"/>
    <w:rsid w:val="00194EC6"/>
    <w:rsid w:val="00195691"/>
    <w:rsid w:val="00195D2E"/>
    <w:rsid w:val="00196DA3"/>
    <w:rsid w:val="00197793"/>
    <w:rsid w:val="001A022F"/>
    <w:rsid w:val="001A2B32"/>
    <w:rsid w:val="001A54F6"/>
    <w:rsid w:val="001A6A7D"/>
    <w:rsid w:val="001A6AE2"/>
    <w:rsid w:val="001A71AA"/>
    <w:rsid w:val="001A72AA"/>
    <w:rsid w:val="001A77C7"/>
    <w:rsid w:val="001A78A0"/>
    <w:rsid w:val="001A7F6F"/>
    <w:rsid w:val="001B20D3"/>
    <w:rsid w:val="001B39C1"/>
    <w:rsid w:val="001B4E48"/>
    <w:rsid w:val="001B550B"/>
    <w:rsid w:val="001C3821"/>
    <w:rsid w:val="001C4FCD"/>
    <w:rsid w:val="001C5264"/>
    <w:rsid w:val="001C58FB"/>
    <w:rsid w:val="001C6DAE"/>
    <w:rsid w:val="001D126A"/>
    <w:rsid w:val="001D380D"/>
    <w:rsid w:val="001D427A"/>
    <w:rsid w:val="001D677B"/>
    <w:rsid w:val="001E05FB"/>
    <w:rsid w:val="001E1679"/>
    <w:rsid w:val="001E1A52"/>
    <w:rsid w:val="001E4714"/>
    <w:rsid w:val="001E4F95"/>
    <w:rsid w:val="001E5405"/>
    <w:rsid w:val="001E59F8"/>
    <w:rsid w:val="001F0198"/>
    <w:rsid w:val="001F0845"/>
    <w:rsid w:val="001F0C11"/>
    <w:rsid w:val="001F29B3"/>
    <w:rsid w:val="001F33F9"/>
    <w:rsid w:val="001F40A9"/>
    <w:rsid w:val="001F4F52"/>
    <w:rsid w:val="001F57F4"/>
    <w:rsid w:val="001F7B88"/>
    <w:rsid w:val="00202975"/>
    <w:rsid w:val="00202A7E"/>
    <w:rsid w:val="00202C3E"/>
    <w:rsid w:val="00202CE9"/>
    <w:rsid w:val="00202D96"/>
    <w:rsid w:val="00202E75"/>
    <w:rsid w:val="0020421B"/>
    <w:rsid w:val="00206AF5"/>
    <w:rsid w:val="00207594"/>
    <w:rsid w:val="0020760C"/>
    <w:rsid w:val="00207EC9"/>
    <w:rsid w:val="00210A90"/>
    <w:rsid w:val="0021136D"/>
    <w:rsid w:val="0021193A"/>
    <w:rsid w:val="002124BF"/>
    <w:rsid w:val="00216A4E"/>
    <w:rsid w:val="00217976"/>
    <w:rsid w:val="00221F35"/>
    <w:rsid w:val="002231C6"/>
    <w:rsid w:val="002249BC"/>
    <w:rsid w:val="00224BD5"/>
    <w:rsid w:val="00225E15"/>
    <w:rsid w:val="002270CD"/>
    <w:rsid w:val="0023056A"/>
    <w:rsid w:val="00230EF6"/>
    <w:rsid w:val="00232445"/>
    <w:rsid w:val="00233E8D"/>
    <w:rsid w:val="0023522A"/>
    <w:rsid w:val="002427E2"/>
    <w:rsid w:val="002443BE"/>
    <w:rsid w:val="00246700"/>
    <w:rsid w:val="00247669"/>
    <w:rsid w:val="002478BA"/>
    <w:rsid w:val="00250799"/>
    <w:rsid w:val="002520BE"/>
    <w:rsid w:val="002540CC"/>
    <w:rsid w:val="00254333"/>
    <w:rsid w:val="00254352"/>
    <w:rsid w:val="00255EDA"/>
    <w:rsid w:val="002576D7"/>
    <w:rsid w:val="00257CDD"/>
    <w:rsid w:val="00265431"/>
    <w:rsid w:val="0026773D"/>
    <w:rsid w:val="0027096E"/>
    <w:rsid w:val="00270CBF"/>
    <w:rsid w:val="00272EA9"/>
    <w:rsid w:val="002768E0"/>
    <w:rsid w:val="00277156"/>
    <w:rsid w:val="00282410"/>
    <w:rsid w:val="00282705"/>
    <w:rsid w:val="0028330C"/>
    <w:rsid w:val="00283E8B"/>
    <w:rsid w:val="00285EBA"/>
    <w:rsid w:val="00287348"/>
    <w:rsid w:val="0029075E"/>
    <w:rsid w:val="00291722"/>
    <w:rsid w:val="00291B06"/>
    <w:rsid w:val="00291D07"/>
    <w:rsid w:val="00291E17"/>
    <w:rsid w:val="0029201D"/>
    <w:rsid w:val="002927EF"/>
    <w:rsid w:val="00292EFF"/>
    <w:rsid w:val="00292F60"/>
    <w:rsid w:val="002931F7"/>
    <w:rsid w:val="002932CB"/>
    <w:rsid w:val="002955EB"/>
    <w:rsid w:val="002959D9"/>
    <w:rsid w:val="002976B3"/>
    <w:rsid w:val="00297FC7"/>
    <w:rsid w:val="002A2770"/>
    <w:rsid w:val="002B0291"/>
    <w:rsid w:val="002B0338"/>
    <w:rsid w:val="002B3B9F"/>
    <w:rsid w:val="002B557B"/>
    <w:rsid w:val="002B5A8B"/>
    <w:rsid w:val="002C143D"/>
    <w:rsid w:val="002C2971"/>
    <w:rsid w:val="002C36ED"/>
    <w:rsid w:val="002C46FA"/>
    <w:rsid w:val="002C596B"/>
    <w:rsid w:val="002C5C7D"/>
    <w:rsid w:val="002C724D"/>
    <w:rsid w:val="002D0294"/>
    <w:rsid w:val="002D1056"/>
    <w:rsid w:val="002D51D4"/>
    <w:rsid w:val="002D7D2F"/>
    <w:rsid w:val="002E2673"/>
    <w:rsid w:val="002E37C5"/>
    <w:rsid w:val="002E4048"/>
    <w:rsid w:val="002E5256"/>
    <w:rsid w:val="002F36CA"/>
    <w:rsid w:val="002F4091"/>
    <w:rsid w:val="002F480F"/>
    <w:rsid w:val="002F4883"/>
    <w:rsid w:val="002F6441"/>
    <w:rsid w:val="002F6A0D"/>
    <w:rsid w:val="00300D82"/>
    <w:rsid w:val="0030220D"/>
    <w:rsid w:val="00303490"/>
    <w:rsid w:val="003034B5"/>
    <w:rsid w:val="00304EFF"/>
    <w:rsid w:val="00305202"/>
    <w:rsid w:val="00305E86"/>
    <w:rsid w:val="00310F47"/>
    <w:rsid w:val="003118FF"/>
    <w:rsid w:val="003124B0"/>
    <w:rsid w:val="00312686"/>
    <w:rsid w:val="003138CE"/>
    <w:rsid w:val="00313D04"/>
    <w:rsid w:val="00313E00"/>
    <w:rsid w:val="0031698D"/>
    <w:rsid w:val="00320539"/>
    <w:rsid w:val="00321C52"/>
    <w:rsid w:val="00323F72"/>
    <w:rsid w:val="0032505C"/>
    <w:rsid w:val="003262C4"/>
    <w:rsid w:val="0032649A"/>
    <w:rsid w:val="0032704A"/>
    <w:rsid w:val="0033091E"/>
    <w:rsid w:val="00331B3F"/>
    <w:rsid w:val="003335A7"/>
    <w:rsid w:val="00333CA2"/>
    <w:rsid w:val="003345E0"/>
    <w:rsid w:val="003348B7"/>
    <w:rsid w:val="003363F9"/>
    <w:rsid w:val="00336957"/>
    <w:rsid w:val="0033741B"/>
    <w:rsid w:val="00337BAA"/>
    <w:rsid w:val="003400E3"/>
    <w:rsid w:val="00340468"/>
    <w:rsid w:val="0034051C"/>
    <w:rsid w:val="00343A66"/>
    <w:rsid w:val="00345061"/>
    <w:rsid w:val="00346E32"/>
    <w:rsid w:val="00347B40"/>
    <w:rsid w:val="00350D3E"/>
    <w:rsid w:val="00350E8F"/>
    <w:rsid w:val="00351B0E"/>
    <w:rsid w:val="003531DB"/>
    <w:rsid w:val="00354773"/>
    <w:rsid w:val="00356F1B"/>
    <w:rsid w:val="0036026D"/>
    <w:rsid w:val="00361F4B"/>
    <w:rsid w:val="003622C0"/>
    <w:rsid w:val="00362866"/>
    <w:rsid w:val="00363233"/>
    <w:rsid w:val="00363BA5"/>
    <w:rsid w:val="00364492"/>
    <w:rsid w:val="0036497B"/>
    <w:rsid w:val="00367964"/>
    <w:rsid w:val="003732FD"/>
    <w:rsid w:val="003736CD"/>
    <w:rsid w:val="00374CFF"/>
    <w:rsid w:val="00374E33"/>
    <w:rsid w:val="00375191"/>
    <w:rsid w:val="0037599C"/>
    <w:rsid w:val="00376B68"/>
    <w:rsid w:val="00376B85"/>
    <w:rsid w:val="00382CE3"/>
    <w:rsid w:val="003832D0"/>
    <w:rsid w:val="003848F1"/>
    <w:rsid w:val="0038544F"/>
    <w:rsid w:val="00385908"/>
    <w:rsid w:val="0039036C"/>
    <w:rsid w:val="003904AE"/>
    <w:rsid w:val="00390DBE"/>
    <w:rsid w:val="00392490"/>
    <w:rsid w:val="00393A1E"/>
    <w:rsid w:val="00395FBF"/>
    <w:rsid w:val="0039603B"/>
    <w:rsid w:val="00396D6C"/>
    <w:rsid w:val="003A060E"/>
    <w:rsid w:val="003A0713"/>
    <w:rsid w:val="003A10AB"/>
    <w:rsid w:val="003A1A6E"/>
    <w:rsid w:val="003A2D99"/>
    <w:rsid w:val="003A3154"/>
    <w:rsid w:val="003A3377"/>
    <w:rsid w:val="003A3596"/>
    <w:rsid w:val="003A38A2"/>
    <w:rsid w:val="003A3B68"/>
    <w:rsid w:val="003A4222"/>
    <w:rsid w:val="003A54F0"/>
    <w:rsid w:val="003A5CF6"/>
    <w:rsid w:val="003A5D75"/>
    <w:rsid w:val="003A7B07"/>
    <w:rsid w:val="003B260C"/>
    <w:rsid w:val="003B3848"/>
    <w:rsid w:val="003B586F"/>
    <w:rsid w:val="003B651E"/>
    <w:rsid w:val="003B6BFE"/>
    <w:rsid w:val="003C257D"/>
    <w:rsid w:val="003C2BC6"/>
    <w:rsid w:val="003C42A2"/>
    <w:rsid w:val="003C5910"/>
    <w:rsid w:val="003C621D"/>
    <w:rsid w:val="003C639D"/>
    <w:rsid w:val="003C7C94"/>
    <w:rsid w:val="003D2A23"/>
    <w:rsid w:val="003D52E9"/>
    <w:rsid w:val="003D5AB4"/>
    <w:rsid w:val="003E0344"/>
    <w:rsid w:val="003E0944"/>
    <w:rsid w:val="003E0E89"/>
    <w:rsid w:val="003E11ED"/>
    <w:rsid w:val="003E3083"/>
    <w:rsid w:val="003E3755"/>
    <w:rsid w:val="003E5A54"/>
    <w:rsid w:val="003F002C"/>
    <w:rsid w:val="003F1074"/>
    <w:rsid w:val="003F6E53"/>
    <w:rsid w:val="003F6FB1"/>
    <w:rsid w:val="003F7883"/>
    <w:rsid w:val="00401094"/>
    <w:rsid w:val="00403F72"/>
    <w:rsid w:val="004046E5"/>
    <w:rsid w:val="00405BFE"/>
    <w:rsid w:val="004062F3"/>
    <w:rsid w:val="00410649"/>
    <w:rsid w:val="00411542"/>
    <w:rsid w:val="00413F91"/>
    <w:rsid w:val="00416C28"/>
    <w:rsid w:val="004174A8"/>
    <w:rsid w:val="00417A8E"/>
    <w:rsid w:val="004212C3"/>
    <w:rsid w:val="0042286A"/>
    <w:rsid w:val="00425153"/>
    <w:rsid w:val="004256B0"/>
    <w:rsid w:val="00425C9A"/>
    <w:rsid w:val="00425EFD"/>
    <w:rsid w:val="00426628"/>
    <w:rsid w:val="00430D4B"/>
    <w:rsid w:val="00431BA8"/>
    <w:rsid w:val="00431C8A"/>
    <w:rsid w:val="00431DB1"/>
    <w:rsid w:val="00433C1A"/>
    <w:rsid w:val="00436D8A"/>
    <w:rsid w:val="004375B3"/>
    <w:rsid w:val="00440946"/>
    <w:rsid w:val="00443F79"/>
    <w:rsid w:val="004457C8"/>
    <w:rsid w:val="0044759B"/>
    <w:rsid w:val="00447AD2"/>
    <w:rsid w:val="0045182E"/>
    <w:rsid w:val="00451C47"/>
    <w:rsid w:val="00451E03"/>
    <w:rsid w:val="00454062"/>
    <w:rsid w:val="0045497B"/>
    <w:rsid w:val="004563D5"/>
    <w:rsid w:val="00456588"/>
    <w:rsid w:val="0045671B"/>
    <w:rsid w:val="0045724D"/>
    <w:rsid w:val="004604A2"/>
    <w:rsid w:val="00460F13"/>
    <w:rsid w:val="00460F18"/>
    <w:rsid w:val="00462386"/>
    <w:rsid w:val="004626C7"/>
    <w:rsid w:val="00463C9E"/>
    <w:rsid w:val="00465EE5"/>
    <w:rsid w:val="00466414"/>
    <w:rsid w:val="004664E7"/>
    <w:rsid w:val="00467DA9"/>
    <w:rsid w:val="0047042B"/>
    <w:rsid w:val="00471623"/>
    <w:rsid w:val="00473E98"/>
    <w:rsid w:val="004749C8"/>
    <w:rsid w:val="004778A1"/>
    <w:rsid w:val="00480819"/>
    <w:rsid w:val="004810D2"/>
    <w:rsid w:val="00481A59"/>
    <w:rsid w:val="00482061"/>
    <w:rsid w:val="00483859"/>
    <w:rsid w:val="00483960"/>
    <w:rsid w:val="00483A46"/>
    <w:rsid w:val="00484FC2"/>
    <w:rsid w:val="00485921"/>
    <w:rsid w:val="004866B3"/>
    <w:rsid w:val="00487DB6"/>
    <w:rsid w:val="004909E7"/>
    <w:rsid w:val="00494643"/>
    <w:rsid w:val="004977B4"/>
    <w:rsid w:val="004A3429"/>
    <w:rsid w:val="004A396B"/>
    <w:rsid w:val="004A3F45"/>
    <w:rsid w:val="004A4024"/>
    <w:rsid w:val="004A4CAF"/>
    <w:rsid w:val="004A6188"/>
    <w:rsid w:val="004A6570"/>
    <w:rsid w:val="004B041F"/>
    <w:rsid w:val="004B0A71"/>
    <w:rsid w:val="004B0B8D"/>
    <w:rsid w:val="004B171F"/>
    <w:rsid w:val="004B7586"/>
    <w:rsid w:val="004C0657"/>
    <w:rsid w:val="004C0A63"/>
    <w:rsid w:val="004C51C2"/>
    <w:rsid w:val="004C68E4"/>
    <w:rsid w:val="004C6F92"/>
    <w:rsid w:val="004C70ED"/>
    <w:rsid w:val="004C73DE"/>
    <w:rsid w:val="004D2027"/>
    <w:rsid w:val="004D21C9"/>
    <w:rsid w:val="004D2DA5"/>
    <w:rsid w:val="004D3502"/>
    <w:rsid w:val="004D39D8"/>
    <w:rsid w:val="004D589A"/>
    <w:rsid w:val="004D724E"/>
    <w:rsid w:val="004D7B9D"/>
    <w:rsid w:val="004D7CBB"/>
    <w:rsid w:val="004E160A"/>
    <w:rsid w:val="004E214E"/>
    <w:rsid w:val="004E23CF"/>
    <w:rsid w:val="004E240C"/>
    <w:rsid w:val="004E241F"/>
    <w:rsid w:val="004E3C96"/>
    <w:rsid w:val="004E67C8"/>
    <w:rsid w:val="004F0FD8"/>
    <w:rsid w:val="004F16D9"/>
    <w:rsid w:val="004F255B"/>
    <w:rsid w:val="004F40D6"/>
    <w:rsid w:val="004F4340"/>
    <w:rsid w:val="004F4638"/>
    <w:rsid w:val="004F5371"/>
    <w:rsid w:val="004F776C"/>
    <w:rsid w:val="004F7E7F"/>
    <w:rsid w:val="0050292E"/>
    <w:rsid w:val="00504C5C"/>
    <w:rsid w:val="00506177"/>
    <w:rsid w:val="005064A8"/>
    <w:rsid w:val="00507BFD"/>
    <w:rsid w:val="00510494"/>
    <w:rsid w:val="005110BB"/>
    <w:rsid w:val="00511684"/>
    <w:rsid w:val="005158EF"/>
    <w:rsid w:val="00515983"/>
    <w:rsid w:val="00520885"/>
    <w:rsid w:val="00522D6E"/>
    <w:rsid w:val="00526A7A"/>
    <w:rsid w:val="00526AEC"/>
    <w:rsid w:val="00527F42"/>
    <w:rsid w:val="0053016E"/>
    <w:rsid w:val="00530444"/>
    <w:rsid w:val="00530E0E"/>
    <w:rsid w:val="00531134"/>
    <w:rsid w:val="00532314"/>
    <w:rsid w:val="00532BA0"/>
    <w:rsid w:val="0053338A"/>
    <w:rsid w:val="00535409"/>
    <w:rsid w:val="00537797"/>
    <w:rsid w:val="00537E25"/>
    <w:rsid w:val="00545AB6"/>
    <w:rsid w:val="00547125"/>
    <w:rsid w:val="00550E5A"/>
    <w:rsid w:val="00552E36"/>
    <w:rsid w:val="005546AD"/>
    <w:rsid w:val="00557191"/>
    <w:rsid w:val="00560079"/>
    <w:rsid w:val="005604E0"/>
    <w:rsid w:val="005629CF"/>
    <w:rsid w:val="00563288"/>
    <w:rsid w:val="00563C8F"/>
    <w:rsid w:val="00563F6E"/>
    <w:rsid w:val="00564D6C"/>
    <w:rsid w:val="005662F7"/>
    <w:rsid w:val="005663E6"/>
    <w:rsid w:val="005664C3"/>
    <w:rsid w:val="00566E04"/>
    <w:rsid w:val="005703D9"/>
    <w:rsid w:val="00572246"/>
    <w:rsid w:val="005722E1"/>
    <w:rsid w:val="00572A4E"/>
    <w:rsid w:val="0057326D"/>
    <w:rsid w:val="005738CE"/>
    <w:rsid w:val="00573912"/>
    <w:rsid w:val="00574C2B"/>
    <w:rsid w:val="005751FF"/>
    <w:rsid w:val="0057634A"/>
    <w:rsid w:val="00577F0A"/>
    <w:rsid w:val="00583FFA"/>
    <w:rsid w:val="005848C3"/>
    <w:rsid w:val="00584A4E"/>
    <w:rsid w:val="0058590F"/>
    <w:rsid w:val="005860B9"/>
    <w:rsid w:val="00587956"/>
    <w:rsid w:val="00590279"/>
    <w:rsid w:val="00591273"/>
    <w:rsid w:val="00592226"/>
    <w:rsid w:val="00592A92"/>
    <w:rsid w:val="005932CD"/>
    <w:rsid w:val="00594479"/>
    <w:rsid w:val="00595083"/>
    <w:rsid w:val="00596582"/>
    <w:rsid w:val="00597513"/>
    <w:rsid w:val="00597E5F"/>
    <w:rsid w:val="005A2E42"/>
    <w:rsid w:val="005A2ED6"/>
    <w:rsid w:val="005A3289"/>
    <w:rsid w:val="005A3313"/>
    <w:rsid w:val="005A3482"/>
    <w:rsid w:val="005A4DAE"/>
    <w:rsid w:val="005A5C1C"/>
    <w:rsid w:val="005A70C5"/>
    <w:rsid w:val="005B07A0"/>
    <w:rsid w:val="005B0AB1"/>
    <w:rsid w:val="005B2BB9"/>
    <w:rsid w:val="005B3711"/>
    <w:rsid w:val="005B38EF"/>
    <w:rsid w:val="005B4FC5"/>
    <w:rsid w:val="005B6790"/>
    <w:rsid w:val="005B6B00"/>
    <w:rsid w:val="005B7A8F"/>
    <w:rsid w:val="005C0940"/>
    <w:rsid w:val="005C7164"/>
    <w:rsid w:val="005C7176"/>
    <w:rsid w:val="005D23F4"/>
    <w:rsid w:val="005D25A0"/>
    <w:rsid w:val="005D38BB"/>
    <w:rsid w:val="005D52E0"/>
    <w:rsid w:val="005D553D"/>
    <w:rsid w:val="005D714E"/>
    <w:rsid w:val="005D7CC5"/>
    <w:rsid w:val="005D7F2D"/>
    <w:rsid w:val="005E0E66"/>
    <w:rsid w:val="005E31C5"/>
    <w:rsid w:val="005E5025"/>
    <w:rsid w:val="005F1959"/>
    <w:rsid w:val="005F1C5F"/>
    <w:rsid w:val="005F35FB"/>
    <w:rsid w:val="005F46C3"/>
    <w:rsid w:val="005F491C"/>
    <w:rsid w:val="005F4A0B"/>
    <w:rsid w:val="005F4BE4"/>
    <w:rsid w:val="005F744C"/>
    <w:rsid w:val="005F7A4F"/>
    <w:rsid w:val="00600FC3"/>
    <w:rsid w:val="006017F3"/>
    <w:rsid w:val="00603107"/>
    <w:rsid w:val="00604B3A"/>
    <w:rsid w:val="00605AE7"/>
    <w:rsid w:val="006101D4"/>
    <w:rsid w:val="00610ACD"/>
    <w:rsid w:val="006113A6"/>
    <w:rsid w:val="0061299F"/>
    <w:rsid w:val="00612C1A"/>
    <w:rsid w:val="00612D2F"/>
    <w:rsid w:val="00613FAB"/>
    <w:rsid w:val="006145CE"/>
    <w:rsid w:val="006169D6"/>
    <w:rsid w:val="006173D1"/>
    <w:rsid w:val="00617E6A"/>
    <w:rsid w:val="00620684"/>
    <w:rsid w:val="00625E99"/>
    <w:rsid w:val="0062626D"/>
    <w:rsid w:val="0062663A"/>
    <w:rsid w:val="00630BB6"/>
    <w:rsid w:val="00630F0A"/>
    <w:rsid w:val="00631870"/>
    <w:rsid w:val="00634EBF"/>
    <w:rsid w:val="006440B8"/>
    <w:rsid w:val="00644C7C"/>
    <w:rsid w:val="00646314"/>
    <w:rsid w:val="0064655C"/>
    <w:rsid w:val="00646AEE"/>
    <w:rsid w:val="0064721D"/>
    <w:rsid w:val="006504D3"/>
    <w:rsid w:val="0065103C"/>
    <w:rsid w:val="00651393"/>
    <w:rsid w:val="00651BAF"/>
    <w:rsid w:val="00652818"/>
    <w:rsid w:val="006539AC"/>
    <w:rsid w:val="0065565F"/>
    <w:rsid w:val="00655811"/>
    <w:rsid w:val="00660893"/>
    <w:rsid w:val="00660B7D"/>
    <w:rsid w:val="006623EE"/>
    <w:rsid w:val="00663FCF"/>
    <w:rsid w:val="006643B8"/>
    <w:rsid w:val="006643C7"/>
    <w:rsid w:val="00664CE8"/>
    <w:rsid w:val="00665331"/>
    <w:rsid w:val="006663C2"/>
    <w:rsid w:val="00666490"/>
    <w:rsid w:val="00670C8E"/>
    <w:rsid w:val="00670D66"/>
    <w:rsid w:val="0067190E"/>
    <w:rsid w:val="00673B8F"/>
    <w:rsid w:val="006755C8"/>
    <w:rsid w:val="00680852"/>
    <w:rsid w:val="00680986"/>
    <w:rsid w:val="00682993"/>
    <w:rsid w:val="00683BF1"/>
    <w:rsid w:val="006860E4"/>
    <w:rsid w:val="00686D9A"/>
    <w:rsid w:val="0069556F"/>
    <w:rsid w:val="00695FD0"/>
    <w:rsid w:val="0069654B"/>
    <w:rsid w:val="006966FA"/>
    <w:rsid w:val="00696EBA"/>
    <w:rsid w:val="00696FEB"/>
    <w:rsid w:val="006A0679"/>
    <w:rsid w:val="006A0873"/>
    <w:rsid w:val="006A1921"/>
    <w:rsid w:val="006A2BD5"/>
    <w:rsid w:val="006A3A7C"/>
    <w:rsid w:val="006A4F81"/>
    <w:rsid w:val="006A5880"/>
    <w:rsid w:val="006A5B39"/>
    <w:rsid w:val="006A66DF"/>
    <w:rsid w:val="006A738C"/>
    <w:rsid w:val="006B1363"/>
    <w:rsid w:val="006B38A7"/>
    <w:rsid w:val="006C0DAA"/>
    <w:rsid w:val="006C1F60"/>
    <w:rsid w:val="006C2564"/>
    <w:rsid w:val="006C44DB"/>
    <w:rsid w:val="006C62FE"/>
    <w:rsid w:val="006D0268"/>
    <w:rsid w:val="006D0400"/>
    <w:rsid w:val="006D41D1"/>
    <w:rsid w:val="006D6DF4"/>
    <w:rsid w:val="006D6F8B"/>
    <w:rsid w:val="006D7E63"/>
    <w:rsid w:val="006E171A"/>
    <w:rsid w:val="006E2220"/>
    <w:rsid w:val="006E302C"/>
    <w:rsid w:val="006E718B"/>
    <w:rsid w:val="006F0786"/>
    <w:rsid w:val="006F19E4"/>
    <w:rsid w:val="006F2409"/>
    <w:rsid w:val="006F2895"/>
    <w:rsid w:val="006F3308"/>
    <w:rsid w:val="006F3DC5"/>
    <w:rsid w:val="006F5498"/>
    <w:rsid w:val="006F55CE"/>
    <w:rsid w:val="006F6DE0"/>
    <w:rsid w:val="00701E18"/>
    <w:rsid w:val="00701F99"/>
    <w:rsid w:val="0070219B"/>
    <w:rsid w:val="007060B4"/>
    <w:rsid w:val="007105EF"/>
    <w:rsid w:val="00710FCE"/>
    <w:rsid w:val="00711AD8"/>
    <w:rsid w:val="00712B15"/>
    <w:rsid w:val="007135C3"/>
    <w:rsid w:val="00713925"/>
    <w:rsid w:val="00714FC8"/>
    <w:rsid w:val="00715F6B"/>
    <w:rsid w:val="007164F0"/>
    <w:rsid w:val="00716744"/>
    <w:rsid w:val="007235FC"/>
    <w:rsid w:val="00723AB7"/>
    <w:rsid w:val="00723D75"/>
    <w:rsid w:val="00724790"/>
    <w:rsid w:val="0072561F"/>
    <w:rsid w:val="00726063"/>
    <w:rsid w:val="007270C6"/>
    <w:rsid w:val="00727853"/>
    <w:rsid w:val="00727A3A"/>
    <w:rsid w:val="00727B5F"/>
    <w:rsid w:val="00730421"/>
    <w:rsid w:val="00730845"/>
    <w:rsid w:val="007377B0"/>
    <w:rsid w:val="007413A8"/>
    <w:rsid w:val="007414E5"/>
    <w:rsid w:val="00742711"/>
    <w:rsid w:val="00744385"/>
    <w:rsid w:val="00744ABA"/>
    <w:rsid w:val="00744D1A"/>
    <w:rsid w:val="00746A05"/>
    <w:rsid w:val="0074745F"/>
    <w:rsid w:val="00747547"/>
    <w:rsid w:val="00750E7D"/>
    <w:rsid w:val="0075178D"/>
    <w:rsid w:val="00753D91"/>
    <w:rsid w:val="00755041"/>
    <w:rsid w:val="007560CF"/>
    <w:rsid w:val="007576E8"/>
    <w:rsid w:val="00762F21"/>
    <w:rsid w:val="007635E0"/>
    <w:rsid w:val="007637D7"/>
    <w:rsid w:val="00764278"/>
    <w:rsid w:val="00764878"/>
    <w:rsid w:val="00765214"/>
    <w:rsid w:val="00765368"/>
    <w:rsid w:val="0076640A"/>
    <w:rsid w:val="00766A3A"/>
    <w:rsid w:val="00770A46"/>
    <w:rsid w:val="007710D5"/>
    <w:rsid w:val="007734D9"/>
    <w:rsid w:val="00775935"/>
    <w:rsid w:val="00776282"/>
    <w:rsid w:val="00776BA5"/>
    <w:rsid w:val="007807A1"/>
    <w:rsid w:val="007812CF"/>
    <w:rsid w:val="00781C42"/>
    <w:rsid w:val="0078302A"/>
    <w:rsid w:val="00784BC5"/>
    <w:rsid w:val="00785C88"/>
    <w:rsid w:val="00790ECF"/>
    <w:rsid w:val="007929C7"/>
    <w:rsid w:val="00792D74"/>
    <w:rsid w:val="00794515"/>
    <w:rsid w:val="00796040"/>
    <w:rsid w:val="0079612D"/>
    <w:rsid w:val="007964A3"/>
    <w:rsid w:val="007A22B5"/>
    <w:rsid w:val="007A2741"/>
    <w:rsid w:val="007A2D0B"/>
    <w:rsid w:val="007A3693"/>
    <w:rsid w:val="007A39D5"/>
    <w:rsid w:val="007A487C"/>
    <w:rsid w:val="007A6097"/>
    <w:rsid w:val="007A65A4"/>
    <w:rsid w:val="007B1CCE"/>
    <w:rsid w:val="007B3487"/>
    <w:rsid w:val="007B4E2C"/>
    <w:rsid w:val="007B6BC2"/>
    <w:rsid w:val="007B76B2"/>
    <w:rsid w:val="007C0113"/>
    <w:rsid w:val="007C0D0C"/>
    <w:rsid w:val="007C150E"/>
    <w:rsid w:val="007C2477"/>
    <w:rsid w:val="007C2DCD"/>
    <w:rsid w:val="007C4B10"/>
    <w:rsid w:val="007C6C6A"/>
    <w:rsid w:val="007C7C21"/>
    <w:rsid w:val="007D16CE"/>
    <w:rsid w:val="007D1D06"/>
    <w:rsid w:val="007D2980"/>
    <w:rsid w:val="007D2D0D"/>
    <w:rsid w:val="007D5193"/>
    <w:rsid w:val="007D5362"/>
    <w:rsid w:val="007E1206"/>
    <w:rsid w:val="007E296E"/>
    <w:rsid w:val="007E307A"/>
    <w:rsid w:val="007E36D1"/>
    <w:rsid w:val="007E4172"/>
    <w:rsid w:val="007E6999"/>
    <w:rsid w:val="007E7428"/>
    <w:rsid w:val="007F02D2"/>
    <w:rsid w:val="007F0F10"/>
    <w:rsid w:val="007F107F"/>
    <w:rsid w:val="007F190E"/>
    <w:rsid w:val="007F5783"/>
    <w:rsid w:val="007F6077"/>
    <w:rsid w:val="007F7477"/>
    <w:rsid w:val="00801C0B"/>
    <w:rsid w:val="008046CF"/>
    <w:rsid w:val="0080508C"/>
    <w:rsid w:val="0081022A"/>
    <w:rsid w:val="008107BC"/>
    <w:rsid w:val="00810F54"/>
    <w:rsid w:val="008128E4"/>
    <w:rsid w:val="00813A3D"/>
    <w:rsid w:val="00816115"/>
    <w:rsid w:val="0082012A"/>
    <w:rsid w:val="008204BE"/>
    <w:rsid w:val="00822AA5"/>
    <w:rsid w:val="0082361A"/>
    <w:rsid w:val="00833366"/>
    <w:rsid w:val="00835D8D"/>
    <w:rsid w:val="00840CD5"/>
    <w:rsid w:val="00841807"/>
    <w:rsid w:val="008426F6"/>
    <w:rsid w:val="00842F05"/>
    <w:rsid w:val="0084343E"/>
    <w:rsid w:val="00843C64"/>
    <w:rsid w:val="008452CD"/>
    <w:rsid w:val="00845D37"/>
    <w:rsid w:val="008507F0"/>
    <w:rsid w:val="00850878"/>
    <w:rsid w:val="008548B2"/>
    <w:rsid w:val="00855605"/>
    <w:rsid w:val="00856466"/>
    <w:rsid w:val="008576A0"/>
    <w:rsid w:val="00857F69"/>
    <w:rsid w:val="00860C1B"/>
    <w:rsid w:val="00860D31"/>
    <w:rsid w:val="008617CF"/>
    <w:rsid w:val="00861FD4"/>
    <w:rsid w:val="00862016"/>
    <w:rsid w:val="00865F38"/>
    <w:rsid w:val="00867F88"/>
    <w:rsid w:val="00874206"/>
    <w:rsid w:val="008755D3"/>
    <w:rsid w:val="00876F0B"/>
    <w:rsid w:val="008777F1"/>
    <w:rsid w:val="00877A21"/>
    <w:rsid w:val="00880224"/>
    <w:rsid w:val="0088260A"/>
    <w:rsid w:val="00882697"/>
    <w:rsid w:val="00883322"/>
    <w:rsid w:val="008839C4"/>
    <w:rsid w:val="00883C08"/>
    <w:rsid w:val="00884648"/>
    <w:rsid w:val="00890C3A"/>
    <w:rsid w:val="008920D9"/>
    <w:rsid w:val="00894A29"/>
    <w:rsid w:val="008954EA"/>
    <w:rsid w:val="00895A15"/>
    <w:rsid w:val="00895EAA"/>
    <w:rsid w:val="0089724E"/>
    <w:rsid w:val="008A0646"/>
    <w:rsid w:val="008A07B3"/>
    <w:rsid w:val="008A1528"/>
    <w:rsid w:val="008A303E"/>
    <w:rsid w:val="008A3305"/>
    <w:rsid w:val="008A4FB7"/>
    <w:rsid w:val="008A5167"/>
    <w:rsid w:val="008A58D6"/>
    <w:rsid w:val="008A65C1"/>
    <w:rsid w:val="008A66A6"/>
    <w:rsid w:val="008A6B47"/>
    <w:rsid w:val="008A7012"/>
    <w:rsid w:val="008A7120"/>
    <w:rsid w:val="008B026D"/>
    <w:rsid w:val="008B0CD4"/>
    <w:rsid w:val="008B0D8E"/>
    <w:rsid w:val="008B2BDD"/>
    <w:rsid w:val="008B710D"/>
    <w:rsid w:val="008B7AA6"/>
    <w:rsid w:val="008B7D28"/>
    <w:rsid w:val="008C2184"/>
    <w:rsid w:val="008C2D31"/>
    <w:rsid w:val="008C3759"/>
    <w:rsid w:val="008C6A49"/>
    <w:rsid w:val="008C6F85"/>
    <w:rsid w:val="008C7913"/>
    <w:rsid w:val="008D19AA"/>
    <w:rsid w:val="008D1AC0"/>
    <w:rsid w:val="008D303A"/>
    <w:rsid w:val="008D3E4A"/>
    <w:rsid w:val="008D3E7E"/>
    <w:rsid w:val="008D3FAE"/>
    <w:rsid w:val="008D48B8"/>
    <w:rsid w:val="008D4E0D"/>
    <w:rsid w:val="008D6678"/>
    <w:rsid w:val="008E4455"/>
    <w:rsid w:val="008E47A0"/>
    <w:rsid w:val="008E5257"/>
    <w:rsid w:val="008F0AD5"/>
    <w:rsid w:val="008F172B"/>
    <w:rsid w:val="008F40FC"/>
    <w:rsid w:val="008F5C89"/>
    <w:rsid w:val="008F7667"/>
    <w:rsid w:val="00901379"/>
    <w:rsid w:val="00901DBC"/>
    <w:rsid w:val="0090235B"/>
    <w:rsid w:val="00903302"/>
    <w:rsid w:val="00907335"/>
    <w:rsid w:val="009113B6"/>
    <w:rsid w:val="00911F75"/>
    <w:rsid w:val="009120F6"/>
    <w:rsid w:val="00912E8F"/>
    <w:rsid w:val="00913C75"/>
    <w:rsid w:val="00913FD0"/>
    <w:rsid w:val="009152BC"/>
    <w:rsid w:val="00915E9A"/>
    <w:rsid w:val="009218BC"/>
    <w:rsid w:val="0092336F"/>
    <w:rsid w:val="00923D96"/>
    <w:rsid w:val="00927467"/>
    <w:rsid w:val="00927B60"/>
    <w:rsid w:val="00930029"/>
    <w:rsid w:val="009312ED"/>
    <w:rsid w:val="00933C06"/>
    <w:rsid w:val="00933EF0"/>
    <w:rsid w:val="00934394"/>
    <w:rsid w:val="00935C68"/>
    <w:rsid w:val="00935DE0"/>
    <w:rsid w:val="00935DF3"/>
    <w:rsid w:val="00937C48"/>
    <w:rsid w:val="00940713"/>
    <w:rsid w:val="009412EB"/>
    <w:rsid w:val="00943013"/>
    <w:rsid w:val="00945B25"/>
    <w:rsid w:val="00947B76"/>
    <w:rsid w:val="00951975"/>
    <w:rsid w:val="00951E5C"/>
    <w:rsid w:val="009526A3"/>
    <w:rsid w:val="009538EF"/>
    <w:rsid w:val="00953A3F"/>
    <w:rsid w:val="00956A1F"/>
    <w:rsid w:val="009577A1"/>
    <w:rsid w:val="00960AC2"/>
    <w:rsid w:val="0096281B"/>
    <w:rsid w:val="00962879"/>
    <w:rsid w:val="00962AB0"/>
    <w:rsid w:val="00963E13"/>
    <w:rsid w:val="00964492"/>
    <w:rsid w:val="00966665"/>
    <w:rsid w:val="00967E99"/>
    <w:rsid w:val="00970A1D"/>
    <w:rsid w:val="00971E60"/>
    <w:rsid w:val="00972C5A"/>
    <w:rsid w:val="00972F7B"/>
    <w:rsid w:val="0097572A"/>
    <w:rsid w:val="00976411"/>
    <w:rsid w:val="00976617"/>
    <w:rsid w:val="00976C51"/>
    <w:rsid w:val="009770A1"/>
    <w:rsid w:val="0097720B"/>
    <w:rsid w:val="0097794A"/>
    <w:rsid w:val="00977958"/>
    <w:rsid w:val="0098077A"/>
    <w:rsid w:val="00982397"/>
    <w:rsid w:val="00982EFA"/>
    <w:rsid w:val="00983E33"/>
    <w:rsid w:val="00985EFE"/>
    <w:rsid w:val="0098634C"/>
    <w:rsid w:val="00986880"/>
    <w:rsid w:val="0098728A"/>
    <w:rsid w:val="00992219"/>
    <w:rsid w:val="009924E7"/>
    <w:rsid w:val="0099269C"/>
    <w:rsid w:val="009926DF"/>
    <w:rsid w:val="00995379"/>
    <w:rsid w:val="00996463"/>
    <w:rsid w:val="009A0993"/>
    <w:rsid w:val="009A32A9"/>
    <w:rsid w:val="009A3B6D"/>
    <w:rsid w:val="009A48FB"/>
    <w:rsid w:val="009A4E2E"/>
    <w:rsid w:val="009A5266"/>
    <w:rsid w:val="009A5353"/>
    <w:rsid w:val="009B133D"/>
    <w:rsid w:val="009B137B"/>
    <w:rsid w:val="009B2603"/>
    <w:rsid w:val="009B592E"/>
    <w:rsid w:val="009B637B"/>
    <w:rsid w:val="009B6DFA"/>
    <w:rsid w:val="009B7256"/>
    <w:rsid w:val="009B7BC2"/>
    <w:rsid w:val="009C02D1"/>
    <w:rsid w:val="009C3FFD"/>
    <w:rsid w:val="009C4F26"/>
    <w:rsid w:val="009C5B1B"/>
    <w:rsid w:val="009C6167"/>
    <w:rsid w:val="009C658A"/>
    <w:rsid w:val="009C69FF"/>
    <w:rsid w:val="009C7D0B"/>
    <w:rsid w:val="009D2EF0"/>
    <w:rsid w:val="009D3029"/>
    <w:rsid w:val="009D4348"/>
    <w:rsid w:val="009D532F"/>
    <w:rsid w:val="009D6A8B"/>
    <w:rsid w:val="009D7370"/>
    <w:rsid w:val="009E1A80"/>
    <w:rsid w:val="009E2FBA"/>
    <w:rsid w:val="009E36F0"/>
    <w:rsid w:val="009E40D3"/>
    <w:rsid w:val="009E52E8"/>
    <w:rsid w:val="009E7BE4"/>
    <w:rsid w:val="009F0C5A"/>
    <w:rsid w:val="009F0E6C"/>
    <w:rsid w:val="009F18A7"/>
    <w:rsid w:val="009F2DFD"/>
    <w:rsid w:val="009F3C48"/>
    <w:rsid w:val="009F4557"/>
    <w:rsid w:val="009F783A"/>
    <w:rsid w:val="00A00FC2"/>
    <w:rsid w:val="00A01121"/>
    <w:rsid w:val="00A02CCD"/>
    <w:rsid w:val="00A03754"/>
    <w:rsid w:val="00A03FEE"/>
    <w:rsid w:val="00A055A6"/>
    <w:rsid w:val="00A060E7"/>
    <w:rsid w:val="00A10252"/>
    <w:rsid w:val="00A139ED"/>
    <w:rsid w:val="00A14746"/>
    <w:rsid w:val="00A15677"/>
    <w:rsid w:val="00A163C7"/>
    <w:rsid w:val="00A16414"/>
    <w:rsid w:val="00A1652E"/>
    <w:rsid w:val="00A2090D"/>
    <w:rsid w:val="00A20F68"/>
    <w:rsid w:val="00A2154D"/>
    <w:rsid w:val="00A2286E"/>
    <w:rsid w:val="00A26AD0"/>
    <w:rsid w:val="00A26E4A"/>
    <w:rsid w:val="00A277C7"/>
    <w:rsid w:val="00A31641"/>
    <w:rsid w:val="00A31A58"/>
    <w:rsid w:val="00A321A6"/>
    <w:rsid w:val="00A34601"/>
    <w:rsid w:val="00A34BAF"/>
    <w:rsid w:val="00A3531F"/>
    <w:rsid w:val="00A35552"/>
    <w:rsid w:val="00A35C9D"/>
    <w:rsid w:val="00A36DDD"/>
    <w:rsid w:val="00A4090B"/>
    <w:rsid w:val="00A40A67"/>
    <w:rsid w:val="00A42856"/>
    <w:rsid w:val="00A42CF0"/>
    <w:rsid w:val="00A43392"/>
    <w:rsid w:val="00A44736"/>
    <w:rsid w:val="00A4783E"/>
    <w:rsid w:val="00A51431"/>
    <w:rsid w:val="00A52445"/>
    <w:rsid w:val="00A5673A"/>
    <w:rsid w:val="00A5686A"/>
    <w:rsid w:val="00A572A9"/>
    <w:rsid w:val="00A57593"/>
    <w:rsid w:val="00A57BAA"/>
    <w:rsid w:val="00A61AC4"/>
    <w:rsid w:val="00A67458"/>
    <w:rsid w:val="00A67885"/>
    <w:rsid w:val="00A67E3F"/>
    <w:rsid w:val="00A70C2A"/>
    <w:rsid w:val="00A70EA3"/>
    <w:rsid w:val="00A70F55"/>
    <w:rsid w:val="00A7165A"/>
    <w:rsid w:val="00A71D28"/>
    <w:rsid w:val="00A72640"/>
    <w:rsid w:val="00A727A2"/>
    <w:rsid w:val="00A732A4"/>
    <w:rsid w:val="00A7402C"/>
    <w:rsid w:val="00A74A3D"/>
    <w:rsid w:val="00A74FA0"/>
    <w:rsid w:val="00A750C1"/>
    <w:rsid w:val="00A775BD"/>
    <w:rsid w:val="00A810C1"/>
    <w:rsid w:val="00A82423"/>
    <w:rsid w:val="00A832F0"/>
    <w:rsid w:val="00A83E5C"/>
    <w:rsid w:val="00A84266"/>
    <w:rsid w:val="00A84571"/>
    <w:rsid w:val="00A84798"/>
    <w:rsid w:val="00A91C4F"/>
    <w:rsid w:val="00A92D6F"/>
    <w:rsid w:val="00A94962"/>
    <w:rsid w:val="00A97A88"/>
    <w:rsid w:val="00AA001A"/>
    <w:rsid w:val="00AA0692"/>
    <w:rsid w:val="00AA079F"/>
    <w:rsid w:val="00AA0AA9"/>
    <w:rsid w:val="00AA1685"/>
    <w:rsid w:val="00AA1CDB"/>
    <w:rsid w:val="00AA2C54"/>
    <w:rsid w:val="00AA3C8E"/>
    <w:rsid w:val="00AA6709"/>
    <w:rsid w:val="00AA7301"/>
    <w:rsid w:val="00AA789D"/>
    <w:rsid w:val="00AB03E7"/>
    <w:rsid w:val="00AB0C8B"/>
    <w:rsid w:val="00AB1946"/>
    <w:rsid w:val="00AB62FD"/>
    <w:rsid w:val="00AB6463"/>
    <w:rsid w:val="00AC0468"/>
    <w:rsid w:val="00AC0568"/>
    <w:rsid w:val="00AC0B14"/>
    <w:rsid w:val="00AC0E0C"/>
    <w:rsid w:val="00AC4D68"/>
    <w:rsid w:val="00AC50DB"/>
    <w:rsid w:val="00AC6A60"/>
    <w:rsid w:val="00AC7BE0"/>
    <w:rsid w:val="00AD2F25"/>
    <w:rsid w:val="00AD4E62"/>
    <w:rsid w:val="00AD5FC8"/>
    <w:rsid w:val="00AD64C7"/>
    <w:rsid w:val="00AD65C3"/>
    <w:rsid w:val="00AD77D2"/>
    <w:rsid w:val="00AE03AB"/>
    <w:rsid w:val="00AE12E6"/>
    <w:rsid w:val="00AE29F7"/>
    <w:rsid w:val="00AE2FE9"/>
    <w:rsid w:val="00AE396F"/>
    <w:rsid w:val="00AE570B"/>
    <w:rsid w:val="00AE6DDB"/>
    <w:rsid w:val="00AE77D4"/>
    <w:rsid w:val="00AE7DF1"/>
    <w:rsid w:val="00AF0957"/>
    <w:rsid w:val="00AF120E"/>
    <w:rsid w:val="00AF1448"/>
    <w:rsid w:val="00AF1D47"/>
    <w:rsid w:val="00AF2553"/>
    <w:rsid w:val="00AF3066"/>
    <w:rsid w:val="00AF441D"/>
    <w:rsid w:val="00AF45EF"/>
    <w:rsid w:val="00AF491C"/>
    <w:rsid w:val="00AF6453"/>
    <w:rsid w:val="00AF788D"/>
    <w:rsid w:val="00B003E4"/>
    <w:rsid w:val="00B018CA"/>
    <w:rsid w:val="00B01A87"/>
    <w:rsid w:val="00B021CD"/>
    <w:rsid w:val="00B0260A"/>
    <w:rsid w:val="00B0290E"/>
    <w:rsid w:val="00B04045"/>
    <w:rsid w:val="00B04475"/>
    <w:rsid w:val="00B05BF0"/>
    <w:rsid w:val="00B06E9D"/>
    <w:rsid w:val="00B07CAF"/>
    <w:rsid w:val="00B07EAE"/>
    <w:rsid w:val="00B116C5"/>
    <w:rsid w:val="00B14B9E"/>
    <w:rsid w:val="00B2031F"/>
    <w:rsid w:val="00B20401"/>
    <w:rsid w:val="00B216AB"/>
    <w:rsid w:val="00B23B36"/>
    <w:rsid w:val="00B246E6"/>
    <w:rsid w:val="00B2538C"/>
    <w:rsid w:val="00B25D7E"/>
    <w:rsid w:val="00B30905"/>
    <w:rsid w:val="00B34F78"/>
    <w:rsid w:val="00B35FA2"/>
    <w:rsid w:val="00B367A2"/>
    <w:rsid w:val="00B369CF"/>
    <w:rsid w:val="00B4158B"/>
    <w:rsid w:val="00B448B5"/>
    <w:rsid w:val="00B45B52"/>
    <w:rsid w:val="00B4689C"/>
    <w:rsid w:val="00B5085C"/>
    <w:rsid w:val="00B50CFD"/>
    <w:rsid w:val="00B513C7"/>
    <w:rsid w:val="00B52043"/>
    <w:rsid w:val="00B521C2"/>
    <w:rsid w:val="00B52307"/>
    <w:rsid w:val="00B52B0D"/>
    <w:rsid w:val="00B53EF9"/>
    <w:rsid w:val="00B55041"/>
    <w:rsid w:val="00B56E7A"/>
    <w:rsid w:val="00B6018D"/>
    <w:rsid w:val="00B60A6B"/>
    <w:rsid w:val="00B6296A"/>
    <w:rsid w:val="00B65DCD"/>
    <w:rsid w:val="00B679D9"/>
    <w:rsid w:val="00B67D7B"/>
    <w:rsid w:val="00B71087"/>
    <w:rsid w:val="00B7215C"/>
    <w:rsid w:val="00B730CB"/>
    <w:rsid w:val="00B73E1B"/>
    <w:rsid w:val="00B75AE6"/>
    <w:rsid w:val="00B80B59"/>
    <w:rsid w:val="00B81B17"/>
    <w:rsid w:val="00B82CAC"/>
    <w:rsid w:val="00B83BC4"/>
    <w:rsid w:val="00B84BFE"/>
    <w:rsid w:val="00B856EE"/>
    <w:rsid w:val="00B85D37"/>
    <w:rsid w:val="00B86611"/>
    <w:rsid w:val="00B91B0E"/>
    <w:rsid w:val="00B9284E"/>
    <w:rsid w:val="00B93E91"/>
    <w:rsid w:val="00B945FB"/>
    <w:rsid w:val="00B949B1"/>
    <w:rsid w:val="00B97A91"/>
    <w:rsid w:val="00BA252B"/>
    <w:rsid w:val="00BA2834"/>
    <w:rsid w:val="00BA6D30"/>
    <w:rsid w:val="00BB15A2"/>
    <w:rsid w:val="00BB1637"/>
    <w:rsid w:val="00BB2435"/>
    <w:rsid w:val="00BB2BAA"/>
    <w:rsid w:val="00BB449F"/>
    <w:rsid w:val="00BB51E1"/>
    <w:rsid w:val="00BB6368"/>
    <w:rsid w:val="00BB7107"/>
    <w:rsid w:val="00BB775D"/>
    <w:rsid w:val="00BC202E"/>
    <w:rsid w:val="00BC2EE3"/>
    <w:rsid w:val="00BC47D6"/>
    <w:rsid w:val="00BC592D"/>
    <w:rsid w:val="00BC5EC3"/>
    <w:rsid w:val="00BD09A1"/>
    <w:rsid w:val="00BD119D"/>
    <w:rsid w:val="00BD1AAD"/>
    <w:rsid w:val="00BD1FCD"/>
    <w:rsid w:val="00BD3020"/>
    <w:rsid w:val="00BD4A13"/>
    <w:rsid w:val="00BD5F01"/>
    <w:rsid w:val="00BE0BBD"/>
    <w:rsid w:val="00BE1740"/>
    <w:rsid w:val="00BE302B"/>
    <w:rsid w:val="00BE657F"/>
    <w:rsid w:val="00BE6F9C"/>
    <w:rsid w:val="00BE7C3E"/>
    <w:rsid w:val="00BF05B2"/>
    <w:rsid w:val="00BF2761"/>
    <w:rsid w:val="00BF3BB2"/>
    <w:rsid w:val="00BF474E"/>
    <w:rsid w:val="00BF4A7F"/>
    <w:rsid w:val="00BF4B93"/>
    <w:rsid w:val="00BF53F4"/>
    <w:rsid w:val="00BF577D"/>
    <w:rsid w:val="00BF5A19"/>
    <w:rsid w:val="00BF5B88"/>
    <w:rsid w:val="00BF69C7"/>
    <w:rsid w:val="00C005D6"/>
    <w:rsid w:val="00C006AE"/>
    <w:rsid w:val="00C02047"/>
    <w:rsid w:val="00C03697"/>
    <w:rsid w:val="00C0522F"/>
    <w:rsid w:val="00C05862"/>
    <w:rsid w:val="00C068C1"/>
    <w:rsid w:val="00C07011"/>
    <w:rsid w:val="00C07454"/>
    <w:rsid w:val="00C07989"/>
    <w:rsid w:val="00C102F2"/>
    <w:rsid w:val="00C118AD"/>
    <w:rsid w:val="00C12182"/>
    <w:rsid w:val="00C15276"/>
    <w:rsid w:val="00C15B55"/>
    <w:rsid w:val="00C16E54"/>
    <w:rsid w:val="00C17117"/>
    <w:rsid w:val="00C171C4"/>
    <w:rsid w:val="00C21983"/>
    <w:rsid w:val="00C22468"/>
    <w:rsid w:val="00C22ACE"/>
    <w:rsid w:val="00C24511"/>
    <w:rsid w:val="00C2786A"/>
    <w:rsid w:val="00C27F9F"/>
    <w:rsid w:val="00C30747"/>
    <w:rsid w:val="00C317ED"/>
    <w:rsid w:val="00C322F8"/>
    <w:rsid w:val="00C32873"/>
    <w:rsid w:val="00C33766"/>
    <w:rsid w:val="00C33D0A"/>
    <w:rsid w:val="00C348AE"/>
    <w:rsid w:val="00C37E58"/>
    <w:rsid w:val="00C4063B"/>
    <w:rsid w:val="00C41C74"/>
    <w:rsid w:val="00C41E53"/>
    <w:rsid w:val="00C4273F"/>
    <w:rsid w:val="00C42A31"/>
    <w:rsid w:val="00C43198"/>
    <w:rsid w:val="00C4495C"/>
    <w:rsid w:val="00C50FC9"/>
    <w:rsid w:val="00C51858"/>
    <w:rsid w:val="00C52A53"/>
    <w:rsid w:val="00C54FCF"/>
    <w:rsid w:val="00C55D8D"/>
    <w:rsid w:val="00C565BA"/>
    <w:rsid w:val="00C56819"/>
    <w:rsid w:val="00C56A9C"/>
    <w:rsid w:val="00C57B0C"/>
    <w:rsid w:val="00C63DDE"/>
    <w:rsid w:val="00C66C55"/>
    <w:rsid w:val="00C670DB"/>
    <w:rsid w:val="00C67772"/>
    <w:rsid w:val="00C67F79"/>
    <w:rsid w:val="00C71A43"/>
    <w:rsid w:val="00C727B0"/>
    <w:rsid w:val="00C728C1"/>
    <w:rsid w:val="00C739DC"/>
    <w:rsid w:val="00C81119"/>
    <w:rsid w:val="00C83201"/>
    <w:rsid w:val="00C83B43"/>
    <w:rsid w:val="00C83D31"/>
    <w:rsid w:val="00C843E7"/>
    <w:rsid w:val="00C855E1"/>
    <w:rsid w:val="00C85708"/>
    <w:rsid w:val="00C85E35"/>
    <w:rsid w:val="00C86701"/>
    <w:rsid w:val="00C91526"/>
    <w:rsid w:val="00C921F5"/>
    <w:rsid w:val="00C936E2"/>
    <w:rsid w:val="00C9479D"/>
    <w:rsid w:val="00C947AC"/>
    <w:rsid w:val="00C94AD1"/>
    <w:rsid w:val="00C976C3"/>
    <w:rsid w:val="00C977AA"/>
    <w:rsid w:val="00CA2369"/>
    <w:rsid w:val="00CA32CB"/>
    <w:rsid w:val="00CA39E9"/>
    <w:rsid w:val="00CA4822"/>
    <w:rsid w:val="00CA5C6F"/>
    <w:rsid w:val="00CB2DB1"/>
    <w:rsid w:val="00CB4672"/>
    <w:rsid w:val="00CB4E0B"/>
    <w:rsid w:val="00CB7093"/>
    <w:rsid w:val="00CB77E0"/>
    <w:rsid w:val="00CC0073"/>
    <w:rsid w:val="00CC1749"/>
    <w:rsid w:val="00CC37A9"/>
    <w:rsid w:val="00CC4C77"/>
    <w:rsid w:val="00CD0EB6"/>
    <w:rsid w:val="00CD11FA"/>
    <w:rsid w:val="00CD1B33"/>
    <w:rsid w:val="00CD67D2"/>
    <w:rsid w:val="00CD6F62"/>
    <w:rsid w:val="00CE07E8"/>
    <w:rsid w:val="00CE0CD3"/>
    <w:rsid w:val="00CE20CD"/>
    <w:rsid w:val="00CE225C"/>
    <w:rsid w:val="00CE322B"/>
    <w:rsid w:val="00CE3B99"/>
    <w:rsid w:val="00CE5568"/>
    <w:rsid w:val="00CE5955"/>
    <w:rsid w:val="00CE6EA7"/>
    <w:rsid w:val="00CE76F5"/>
    <w:rsid w:val="00CF1B85"/>
    <w:rsid w:val="00D00E29"/>
    <w:rsid w:val="00D01140"/>
    <w:rsid w:val="00D02414"/>
    <w:rsid w:val="00D02E20"/>
    <w:rsid w:val="00D04BB3"/>
    <w:rsid w:val="00D04D85"/>
    <w:rsid w:val="00D0668D"/>
    <w:rsid w:val="00D06984"/>
    <w:rsid w:val="00D07FBA"/>
    <w:rsid w:val="00D112E2"/>
    <w:rsid w:val="00D13BDD"/>
    <w:rsid w:val="00D144DE"/>
    <w:rsid w:val="00D14F9E"/>
    <w:rsid w:val="00D150B8"/>
    <w:rsid w:val="00D22225"/>
    <w:rsid w:val="00D23E63"/>
    <w:rsid w:val="00D2416F"/>
    <w:rsid w:val="00D24F3F"/>
    <w:rsid w:val="00D255F8"/>
    <w:rsid w:val="00D25F10"/>
    <w:rsid w:val="00D26CE6"/>
    <w:rsid w:val="00D27C0F"/>
    <w:rsid w:val="00D306D1"/>
    <w:rsid w:val="00D32178"/>
    <w:rsid w:val="00D32DE6"/>
    <w:rsid w:val="00D33622"/>
    <w:rsid w:val="00D34BDE"/>
    <w:rsid w:val="00D35B6C"/>
    <w:rsid w:val="00D3734A"/>
    <w:rsid w:val="00D3754A"/>
    <w:rsid w:val="00D37D35"/>
    <w:rsid w:val="00D37DCE"/>
    <w:rsid w:val="00D40132"/>
    <w:rsid w:val="00D46A9F"/>
    <w:rsid w:val="00D46B29"/>
    <w:rsid w:val="00D47552"/>
    <w:rsid w:val="00D507B1"/>
    <w:rsid w:val="00D50E0F"/>
    <w:rsid w:val="00D51298"/>
    <w:rsid w:val="00D5216E"/>
    <w:rsid w:val="00D538E7"/>
    <w:rsid w:val="00D57D30"/>
    <w:rsid w:val="00D60B2B"/>
    <w:rsid w:val="00D60C52"/>
    <w:rsid w:val="00D6183E"/>
    <w:rsid w:val="00D63DC8"/>
    <w:rsid w:val="00D65291"/>
    <w:rsid w:val="00D66B9C"/>
    <w:rsid w:val="00D70320"/>
    <w:rsid w:val="00D711BF"/>
    <w:rsid w:val="00D715DD"/>
    <w:rsid w:val="00D719BA"/>
    <w:rsid w:val="00D7430A"/>
    <w:rsid w:val="00D74BC4"/>
    <w:rsid w:val="00D7581D"/>
    <w:rsid w:val="00D76009"/>
    <w:rsid w:val="00D772CA"/>
    <w:rsid w:val="00D773C5"/>
    <w:rsid w:val="00D801DE"/>
    <w:rsid w:val="00D803EA"/>
    <w:rsid w:val="00D8046B"/>
    <w:rsid w:val="00D818E6"/>
    <w:rsid w:val="00D82B73"/>
    <w:rsid w:val="00D834FF"/>
    <w:rsid w:val="00D85941"/>
    <w:rsid w:val="00D86A5D"/>
    <w:rsid w:val="00D90118"/>
    <w:rsid w:val="00D917F6"/>
    <w:rsid w:val="00D919A3"/>
    <w:rsid w:val="00D94815"/>
    <w:rsid w:val="00D9563F"/>
    <w:rsid w:val="00D97945"/>
    <w:rsid w:val="00DA2487"/>
    <w:rsid w:val="00DA3780"/>
    <w:rsid w:val="00DA37B4"/>
    <w:rsid w:val="00DA487C"/>
    <w:rsid w:val="00DA4F3F"/>
    <w:rsid w:val="00DA585C"/>
    <w:rsid w:val="00DB0F1D"/>
    <w:rsid w:val="00DB252F"/>
    <w:rsid w:val="00DB3020"/>
    <w:rsid w:val="00DB3DBB"/>
    <w:rsid w:val="00DB4BB4"/>
    <w:rsid w:val="00DB6D26"/>
    <w:rsid w:val="00DB70C6"/>
    <w:rsid w:val="00DB78F6"/>
    <w:rsid w:val="00DB7934"/>
    <w:rsid w:val="00DB794B"/>
    <w:rsid w:val="00DC092F"/>
    <w:rsid w:val="00DC0B96"/>
    <w:rsid w:val="00DC0D07"/>
    <w:rsid w:val="00DC1DE3"/>
    <w:rsid w:val="00DC3695"/>
    <w:rsid w:val="00DC7D86"/>
    <w:rsid w:val="00DD0B37"/>
    <w:rsid w:val="00DD182E"/>
    <w:rsid w:val="00DD47F1"/>
    <w:rsid w:val="00DD4C47"/>
    <w:rsid w:val="00DE287B"/>
    <w:rsid w:val="00DE3001"/>
    <w:rsid w:val="00DE338A"/>
    <w:rsid w:val="00DE345C"/>
    <w:rsid w:val="00DE40AA"/>
    <w:rsid w:val="00DE4E23"/>
    <w:rsid w:val="00DE5B1F"/>
    <w:rsid w:val="00DE6E20"/>
    <w:rsid w:val="00DE7418"/>
    <w:rsid w:val="00DE78E2"/>
    <w:rsid w:val="00DF0B04"/>
    <w:rsid w:val="00DF34F3"/>
    <w:rsid w:val="00DF4119"/>
    <w:rsid w:val="00DF4D2B"/>
    <w:rsid w:val="00DF53F7"/>
    <w:rsid w:val="00DF7434"/>
    <w:rsid w:val="00DF7564"/>
    <w:rsid w:val="00E001B8"/>
    <w:rsid w:val="00E00B0F"/>
    <w:rsid w:val="00E00B1A"/>
    <w:rsid w:val="00E038AE"/>
    <w:rsid w:val="00E056E3"/>
    <w:rsid w:val="00E119C6"/>
    <w:rsid w:val="00E11D13"/>
    <w:rsid w:val="00E12272"/>
    <w:rsid w:val="00E12B15"/>
    <w:rsid w:val="00E1327D"/>
    <w:rsid w:val="00E1575E"/>
    <w:rsid w:val="00E207A8"/>
    <w:rsid w:val="00E24548"/>
    <w:rsid w:val="00E246E2"/>
    <w:rsid w:val="00E24719"/>
    <w:rsid w:val="00E27E7D"/>
    <w:rsid w:val="00E310D6"/>
    <w:rsid w:val="00E31E1D"/>
    <w:rsid w:val="00E338A2"/>
    <w:rsid w:val="00E338DE"/>
    <w:rsid w:val="00E33BDA"/>
    <w:rsid w:val="00E37A85"/>
    <w:rsid w:val="00E43624"/>
    <w:rsid w:val="00E44E95"/>
    <w:rsid w:val="00E458C7"/>
    <w:rsid w:val="00E466E7"/>
    <w:rsid w:val="00E5064C"/>
    <w:rsid w:val="00E542B4"/>
    <w:rsid w:val="00E54384"/>
    <w:rsid w:val="00E61479"/>
    <w:rsid w:val="00E616FD"/>
    <w:rsid w:val="00E62069"/>
    <w:rsid w:val="00E63578"/>
    <w:rsid w:val="00E635D3"/>
    <w:rsid w:val="00E6385C"/>
    <w:rsid w:val="00E664DF"/>
    <w:rsid w:val="00E67B53"/>
    <w:rsid w:val="00E70D52"/>
    <w:rsid w:val="00E70DB9"/>
    <w:rsid w:val="00E753D0"/>
    <w:rsid w:val="00E75A39"/>
    <w:rsid w:val="00E7762B"/>
    <w:rsid w:val="00E8025B"/>
    <w:rsid w:val="00E80539"/>
    <w:rsid w:val="00E863A8"/>
    <w:rsid w:val="00E87E9F"/>
    <w:rsid w:val="00E87FB6"/>
    <w:rsid w:val="00E90439"/>
    <w:rsid w:val="00E907F8"/>
    <w:rsid w:val="00E91EB4"/>
    <w:rsid w:val="00E92FF0"/>
    <w:rsid w:val="00E94169"/>
    <w:rsid w:val="00E941EC"/>
    <w:rsid w:val="00E96A92"/>
    <w:rsid w:val="00E97947"/>
    <w:rsid w:val="00E97ACB"/>
    <w:rsid w:val="00EA476D"/>
    <w:rsid w:val="00EA4C79"/>
    <w:rsid w:val="00EA5560"/>
    <w:rsid w:val="00EA682E"/>
    <w:rsid w:val="00EA69E4"/>
    <w:rsid w:val="00EA71CF"/>
    <w:rsid w:val="00EA7226"/>
    <w:rsid w:val="00EA78CB"/>
    <w:rsid w:val="00EA7A56"/>
    <w:rsid w:val="00EB03F1"/>
    <w:rsid w:val="00EB0ADE"/>
    <w:rsid w:val="00EB3ECA"/>
    <w:rsid w:val="00EB5CC3"/>
    <w:rsid w:val="00EB5D74"/>
    <w:rsid w:val="00EB6F33"/>
    <w:rsid w:val="00EC083A"/>
    <w:rsid w:val="00EC16CC"/>
    <w:rsid w:val="00EC1E93"/>
    <w:rsid w:val="00EC35E5"/>
    <w:rsid w:val="00EC3B40"/>
    <w:rsid w:val="00EC3D1B"/>
    <w:rsid w:val="00EC406D"/>
    <w:rsid w:val="00EC54DE"/>
    <w:rsid w:val="00EC7655"/>
    <w:rsid w:val="00ED02F5"/>
    <w:rsid w:val="00ED17FD"/>
    <w:rsid w:val="00ED2166"/>
    <w:rsid w:val="00ED2201"/>
    <w:rsid w:val="00ED2473"/>
    <w:rsid w:val="00ED261D"/>
    <w:rsid w:val="00ED33EF"/>
    <w:rsid w:val="00ED3B2E"/>
    <w:rsid w:val="00ED4818"/>
    <w:rsid w:val="00ED4DAD"/>
    <w:rsid w:val="00ED522A"/>
    <w:rsid w:val="00ED6286"/>
    <w:rsid w:val="00EE0C47"/>
    <w:rsid w:val="00EE2510"/>
    <w:rsid w:val="00EE3382"/>
    <w:rsid w:val="00EE544A"/>
    <w:rsid w:val="00EE5709"/>
    <w:rsid w:val="00EE5E50"/>
    <w:rsid w:val="00EE67B6"/>
    <w:rsid w:val="00EE6A07"/>
    <w:rsid w:val="00EE7958"/>
    <w:rsid w:val="00EE7F48"/>
    <w:rsid w:val="00EF039F"/>
    <w:rsid w:val="00EF1351"/>
    <w:rsid w:val="00EF20D1"/>
    <w:rsid w:val="00EF2BEB"/>
    <w:rsid w:val="00EF3A10"/>
    <w:rsid w:val="00EF4EF8"/>
    <w:rsid w:val="00EF5CF0"/>
    <w:rsid w:val="00F00166"/>
    <w:rsid w:val="00F0021F"/>
    <w:rsid w:val="00F02E0E"/>
    <w:rsid w:val="00F05693"/>
    <w:rsid w:val="00F066E5"/>
    <w:rsid w:val="00F06B70"/>
    <w:rsid w:val="00F079D1"/>
    <w:rsid w:val="00F07F53"/>
    <w:rsid w:val="00F103E1"/>
    <w:rsid w:val="00F129E5"/>
    <w:rsid w:val="00F12DBA"/>
    <w:rsid w:val="00F12E59"/>
    <w:rsid w:val="00F13B74"/>
    <w:rsid w:val="00F13CF0"/>
    <w:rsid w:val="00F205C3"/>
    <w:rsid w:val="00F21479"/>
    <w:rsid w:val="00F218BE"/>
    <w:rsid w:val="00F22856"/>
    <w:rsid w:val="00F22A6E"/>
    <w:rsid w:val="00F231AE"/>
    <w:rsid w:val="00F24740"/>
    <w:rsid w:val="00F26F3F"/>
    <w:rsid w:val="00F306E6"/>
    <w:rsid w:val="00F318FE"/>
    <w:rsid w:val="00F3433B"/>
    <w:rsid w:val="00F355ED"/>
    <w:rsid w:val="00F36C11"/>
    <w:rsid w:val="00F37029"/>
    <w:rsid w:val="00F42194"/>
    <w:rsid w:val="00F44C5E"/>
    <w:rsid w:val="00F45A73"/>
    <w:rsid w:val="00F45F27"/>
    <w:rsid w:val="00F46759"/>
    <w:rsid w:val="00F513E8"/>
    <w:rsid w:val="00F51625"/>
    <w:rsid w:val="00F52B7D"/>
    <w:rsid w:val="00F52E57"/>
    <w:rsid w:val="00F574F4"/>
    <w:rsid w:val="00F57642"/>
    <w:rsid w:val="00F6151E"/>
    <w:rsid w:val="00F63BBF"/>
    <w:rsid w:val="00F64953"/>
    <w:rsid w:val="00F65A67"/>
    <w:rsid w:val="00F66346"/>
    <w:rsid w:val="00F66C09"/>
    <w:rsid w:val="00F67FA8"/>
    <w:rsid w:val="00F706B0"/>
    <w:rsid w:val="00F708AC"/>
    <w:rsid w:val="00F77242"/>
    <w:rsid w:val="00F823FC"/>
    <w:rsid w:val="00F82A8B"/>
    <w:rsid w:val="00F8541E"/>
    <w:rsid w:val="00F859C8"/>
    <w:rsid w:val="00F86737"/>
    <w:rsid w:val="00F9152E"/>
    <w:rsid w:val="00F936E4"/>
    <w:rsid w:val="00F95517"/>
    <w:rsid w:val="00F977F7"/>
    <w:rsid w:val="00FA152B"/>
    <w:rsid w:val="00FA15E2"/>
    <w:rsid w:val="00FA2590"/>
    <w:rsid w:val="00FA5CF0"/>
    <w:rsid w:val="00FB0703"/>
    <w:rsid w:val="00FB205A"/>
    <w:rsid w:val="00FB40B4"/>
    <w:rsid w:val="00FB420A"/>
    <w:rsid w:val="00FB5B0A"/>
    <w:rsid w:val="00FC0205"/>
    <w:rsid w:val="00FC0B92"/>
    <w:rsid w:val="00FC168A"/>
    <w:rsid w:val="00FC17D9"/>
    <w:rsid w:val="00FC1AE7"/>
    <w:rsid w:val="00FC6221"/>
    <w:rsid w:val="00FC6A0D"/>
    <w:rsid w:val="00FD1301"/>
    <w:rsid w:val="00FD5D43"/>
    <w:rsid w:val="00FD6FE2"/>
    <w:rsid w:val="00FD7434"/>
    <w:rsid w:val="00FE1247"/>
    <w:rsid w:val="00FE13EE"/>
    <w:rsid w:val="00FE24EB"/>
    <w:rsid w:val="00FE37E4"/>
    <w:rsid w:val="00FE4069"/>
    <w:rsid w:val="00FE540E"/>
    <w:rsid w:val="00FE658E"/>
    <w:rsid w:val="00FE7B96"/>
    <w:rsid w:val="00FF3467"/>
    <w:rsid w:val="00FF39B5"/>
    <w:rsid w:val="00FF40BD"/>
    <w:rsid w:val="00FF49F4"/>
    <w:rsid w:val="00FF4FA2"/>
    <w:rsid w:val="00FF5212"/>
    <w:rsid w:val="00FF5362"/>
    <w:rsid w:val="00FF5C53"/>
    <w:rsid w:val="00FF6268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table" w:styleId="1-3">
    <w:name w:val="Medium Shading 1 Accent 3"/>
    <w:basedOn w:val="a1"/>
    <w:uiPriority w:val="63"/>
    <w:rsid w:val="002C297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2C297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C29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9120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9120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footnote text"/>
    <w:basedOn w:val="a"/>
    <w:link w:val="af4"/>
    <w:rsid w:val="006A588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5880"/>
  </w:style>
  <w:style w:type="character" w:styleId="af5">
    <w:name w:val="footnote reference"/>
    <w:basedOn w:val="a0"/>
    <w:rsid w:val="006A5880"/>
    <w:rPr>
      <w:vertAlign w:val="superscript"/>
    </w:rPr>
  </w:style>
  <w:style w:type="paragraph" w:styleId="af6">
    <w:name w:val="endnote text"/>
    <w:basedOn w:val="a"/>
    <w:link w:val="af7"/>
    <w:rsid w:val="007812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812CF"/>
  </w:style>
  <w:style w:type="character" w:styleId="af8">
    <w:name w:val="endnote reference"/>
    <w:basedOn w:val="a0"/>
    <w:rsid w:val="007812CF"/>
    <w:rPr>
      <w:vertAlign w:val="superscript"/>
    </w:rPr>
  </w:style>
  <w:style w:type="paragraph" w:customStyle="1" w:styleId="Default">
    <w:name w:val="Default"/>
    <w:rsid w:val="003A315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table" w:styleId="1-3">
    <w:name w:val="Medium Shading 1 Accent 3"/>
    <w:basedOn w:val="a1"/>
    <w:uiPriority w:val="63"/>
    <w:rsid w:val="002C297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2C297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C29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9120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9120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footnote text"/>
    <w:basedOn w:val="a"/>
    <w:link w:val="af4"/>
    <w:rsid w:val="006A588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5880"/>
  </w:style>
  <w:style w:type="character" w:styleId="af5">
    <w:name w:val="footnote reference"/>
    <w:basedOn w:val="a0"/>
    <w:rsid w:val="006A5880"/>
    <w:rPr>
      <w:vertAlign w:val="superscript"/>
    </w:rPr>
  </w:style>
  <w:style w:type="paragraph" w:styleId="af6">
    <w:name w:val="endnote text"/>
    <w:basedOn w:val="a"/>
    <w:link w:val="af7"/>
    <w:rsid w:val="007812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812CF"/>
  </w:style>
  <w:style w:type="character" w:styleId="af8">
    <w:name w:val="endnote reference"/>
    <w:basedOn w:val="a0"/>
    <w:rsid w:val="007812CF"/>
    <w:rPr>
      <w:vertAlign w:val="superscript"/>
    </w:rPr>
  </w:style>
  <w:style w:type="paragraph" w:customStyle="1" w:styleId="Default">
    <w:name w:val="Default"/>
    <w:rsid w:val="003A315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40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5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636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08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738">
              <w:marLeft w:val="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14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63">
          <w:marLeft w:val="51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29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7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0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63BA-D9E8-45BE-B2DC-ECAC98E1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soboleva-en</dc:creator>
  <cp:lastModifiedBy>Шевцова Мария Викторовна</cp:lastModifiedBy>
  <cp:revision>7</cp:revision>
  <cp:lastPrinted>2018-02-27T21:22:00Z</cp:lastPrinted>
  <dcterms:created xsi:type="dcterms:W3CDTF">2018-02-28T06:28:00Z</dcterms:created>
  <dcterms:modified xsi:type="dcterms:W3CDTF">2018-02-28T06:34:00Z</dcterms:modified>
</cp:coreProperties>
</file>