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825" w:rsidRPr="00C93253" w:rsidRDefault="00F75FD8" w:rsidP="003A4F53">
      <w:pPr>
        <w:shd w:val="clear" w:color="auto" w:fill="FFFFFF"/>
        <w:jc w:val="both"/>
        <w:outlineLvl w:val="3"/>
        <w:rPr>
          <w:rFonts w:ascii="Tahoma" w:hAnsi="Tahoma" w:cs="Tahoma"/>
          <w:b/>
          <w:bCs/>
          <w:color w:val="666666"/>
          <w:sz w:val="20"/>
          <w:szCs w:val="20"/>
        </w:rPr>
      </w:pPr>
      <w:r>
        <w:rPr>
          <w:rFonts w:ascii="Tahoma" w:hAnsi="Tahoma" w:cs="Tahoma"/>
          <w:b/>
          <w:bCs/>
          <w:color w:val="666666"/>
          <w:sz w:val="20"/>
          <w:szCs w:val="20"/>
        </w:rPr>
        <w:t xml:space="preserve">ПАО </w:t>
      </w:r>
      <w:r w:rsidR="00ED3825" w:rsidRPr="002C52DA">
        <w:rPr>
          <w:rFonts w:ascii="Tahoma" w:hAnsi="Tahoma" w:cs="Tahoma"/>
          <w:b/>
          <w:bCs/>
          <w:color w:val="666666"/>
          <w:sz w:val="20"/>
          <w:szCs w:val="20"/>
        </w:rPr>
        <w:t xml:space="preserve">Сбербанк </w:t>
      </w:r>
      <w:r w:rsidR="008654B1" w:rsidRPr="002C52DA">
        <w:rPr>
          <w:rFonts w:ascii="Tahoma" w:hAnsi="Tahoma" w:cs="Tahoma"/>
          <w:b/>
          <w:bCs/>
          <w:color w:val="666666"/>
          <w:sz w:val="20"/>
          <w:szCs w:val="20"/>
        </w:rPr>
        <w:t xml:space="preserve">представляет промежуточную </w:t>
      </w:r>
      <w:r w:rsidR="009C734E" w:rsidRPr="002C52DA">
        <w:rPr>
          <w:rFonts w:ascii="Tahoma" w:hAnsi="Tahoma" w:cs="Tahoma"/>
          <w:b/>
          <w:bCs/>
          <w:color w:val="666666"/>
          <w:sz w:val="20"/>
          <w:szCs w:val="20"/>
        </w:rPr>
        <w:t xml:space="preserve">сокращенную </w:t>
      </w:r>
      <w:r w:rsidR="00ED3825" w:rsidRPr="002C52DA">
        <w:rPr>
          <w:rFonts w:ascii="Tahoma" w:hAnsi="Tahoma" w:cs="Tahoma"/>
          <w:b/>
          <w:bCs/>
          <w:color w:val="666666"/>
          <w:sz w:val="20"/>
          <w:szCs w:val="20"/>
        </w:rPr>
        <w:t xml:space="preserve">консолидированную финансовую отчетность в соответствии с международными стандартами финансовой отчетности (МСФО) </w:t>
      </w:r>
      <w:r w:rsidR="00146F34" w:rsidRPr="002C52DA">
        <w:rPr>
          <w:rFonts w:ascii="Tahoma" w:hAnsi="Tahoma" w:cs="Tahoma"/>
          <w:b/>
          <w:bCs/>
          <w:color w:val="666666"/>
          <w:sz w:val="20"/>
          <w:szCs w:val="20"/>
        </w:rPr>
        <w:t xml:space="preserve">за </w:t>
      </w:r>
      <w:r w:rsidR="00103F67">
        <w:rPr>
          <w:rFonts w:ascii="Tahoma" w:hAnsi="Tahoma" w:cs="Tahoma"/>
          <w:b/>
          <w:bCs/>
          <w:color w:val="666666"/>
          <w:sz w:val="20"/>
          <w:szCs w:val="20"/>
        </w:rPr>
        <w:t>1 полугодие</w:t>
      </w:r>
      <w:r w:rsidR="00F65967" w:rsidRPr="002C52DA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="008654B1" w:rsidRPr="002C52DA">
        <w:rPr>
          <w:rFonts w:ascii="Tahoma" w:hAnsi="Tahoma" w:cs="Tahoma"/>
          <w:b/>
          <w:bCs/>
          <w:color w:val="666666"/>
          <w:sz w:val="20"/>
          <w:szCs w:val="20"/>
        </w:rPr>
        <w:t>201</w:t>
      </w:r>
      <w:r w:rsidR="008D551D" w:rsidRPr="002C52DA">
        <w:rPr>
          <w:rFonts w:ascii="Tahoma" w:hAnsi="Tahoma" w:cs="Tahoma"/>
          <w:b/>
          <w:bCs/>
          <w:color w:val="666666"/>
          <w:sz w:val="20"/>
          <w:szCs w:val="20"/>
        </w:rPr>
        <w:t>5</w:t>
      </w:r>
      <w:r w:rsidR="00C93253">
        <w:rPr>
          <w:rFonts w:ascii="Tahoma" w:hAnsi="Tahoma" w:cs="Tahoma"/>
          <w:b/>
          <w:bCs/>
          <w:color w:val="666666"/>
          <w:sz w:val="20"/>
          <w:szCs w:val="20"/>
        </w:rPr>
        <w:t xml:space="preserve"> года</w:t>
      </w:r>
    </w:p>
    <w:p w:rsidR="00ED3825" w:rsidRPr="003639B8" w:rsidRDefault="00ED3825" w:rsidP="00ED3825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2C52DA">
        <w:rPr>
          <w:rFonts w:ascii="Tahoma" w:hAnsi="Tahoma" w:cs="Tahoma"/>
          <w:color w:val="666666"/>
          <w:sz w:val="20"/>
          <w:szCs w:val="20"/>
        </w:rPr>
        <w:t xml:space="preserve">Сбербанк (далее — «Группа») опубликовал </w:t>
      </w:r>
      <w:r w:rsidR="008654B1" w:rsidRPr="002C52DA">
        <w:rPr>
          <w:rStyle w:val="a3"/>
          <w:rFonts w:ascii="Tahoma" w:hAnsi="Tahoma" w:cs="Tahoma"/>
          <w:color w:val="006699"/>
          <w:sz w:val="20"/>
          <w:szCs w:val="20"/>
        </w:rPr>
        <w:t xml:space="preserve">промежуточную </w:t>
      </w:r>
      <w:r w:rsidR="009C734E" w:rsidRPr="002C52DA">
        <w:rPr>
          <w:rStyle w:val="a3"/>
          <w:rFonts w:ascii="Tahoma" w:hAnsi="Tahoma" w:cs="Tahoma"/>
          <w:color w:val="006699"/>
          <w:sz w:val="20"/>
          <w:szCs w:val="20"/>
        </w:rPr>
        <w:t>сокращенную</w:t>
      </w:r>
      <w:r w:rsidR="009C734E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hyperlink r:id="rId7" w:tgtFrame="_blank" w:history="1">
        <w:r w:rsidRPr="002C52DA">
          <w:rPr>
            <w:rStyle w:val="a3"/>
            <w:rFonts w:ascii="Tahoma" w:hAnsi="Tahoma" w:cs="Tahoma"/>
            <w:color w:val="006699"/>
            <w:sz w:val="20"/>
            <w:szCs w:val="20"/>
          </w:rPr>
          <w:t>консолидированную финансовую отчетность в соответствии с международными стандартами финансовой отчетности (МСФО)</w:t>
        </w:r>
      </w:hyperlink>
      <w:r w:rsidRPr="002C52DA">
        <w:rPr>
          <w:rFonts w:ascii="Tahoma" w:hAnsi="Tahoma" w:cs="Tahoma"/>
          <w:color w:val="666666"/>
          <w:sz w:val="20"/>
          <w:szCs w:val="20"/>
        </w:rPr>
        <w:t xml:space="preserve"> (далее — «отчетность») по состоянию на </w:t>
      </w:r>
      <w:r w:rsidR="00F65967" w:rsidRPr="002C52DA">
        <w:rPr>
          <w:rFonts w:ascii="Tahoma" w:hAnsi="Tahoma" w:cs="Tahoma"/>
          <w:color w:val="666666"/>
          <w:sz w:val="20"/>
          <w:szCs w:val="20"/>
        </w:rPr>
        <w:t>3</w:t>
      </w:r>
      <w:r w:rsidR="00103F67">
        <w:rPr>
          <w:rFonts w:ascii="Tahoma" w:hAnsi="Tahoma" w:cs="Tahoma"/>
          <w:color w:val="666666"/>
          <w:sz w:val="20"/>
          <w:szCs w:val="20"/>
        </w:rPr>
        <w:t>0 июня</w:t>
      </w:r>
      <w:r w:rsidR="00F65967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C734E" w:rsidRPr="002C52DA">
        <w:rPr>
          <w:rFonts w:ascii="Tahoma" w:hAnsi="Tahoma" w:cs="Tahoma"/>
          <w:color w:val="666666"/>
          <w:sz w:val="20"/>
          <w:szCs w:val="20"/>
        </w:rPr>
        <w:t>201</w:t>
      </w:r>
      <w:r w:rsidR="008D551D" w:rsidRPr="002C52DA">
        <w:rPr>
          <w:rFonts w:ascii="Tahoma" w:hAnsi="Tahoma" w:cs="Tahoma"/>
          <w:color w:val="666666"/>
          <w:sz w:val="20"/>
          <w:szCs w:val="20"/>
        </w:rPr>
        <w:t>5</w:t>
      </w:r>
      <w:r w:rsidR="009C734E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E93BF0" w:rsidRPr="002C52DA">
        <w:rPr>
          <w:rFonts w:ascii="Tahoma" w:hAnsi="Tahoma" w:cs="Tahoma"/>
          <w:color w:val="666666"/>
          <w:sz w:val="20"/>
          <w:szCs w:val="20"/>
        </w:rPr>
        <w:t xml:space="preserve">года и за </w:t>
      </w:r>
      <w:r w:rsidR="00103F67">
        <w:rPr>
          <w:rFonts w:ascii="Tahoma" w:hAnsi="Tahoma" w:cs="Tahoma"/>
          <w:color w:val="666666"/>
          <w:sz w:val="20"/>
          <w:szCs w:val="20"/>
        </w:rPr>
        <w:t xml:space="preserve">шесть </w:t>
      </w:r>
      <w:r w:rsidR="00F65967" w:rsidRPr="002C52DA">
        <w:rPr>
          <w:rFonts w:ascii="Tahoma" w:hAnsi="Tahoma" w:cs="Tahoma"/>
          <w:color w:val="666666"/>
          <w:sz w:val="20"/>
          <w:szCs w:val="20"/>
        </w:rPr>
        <w:t>месяц</w:t>
      </w:r>
      <w:r w:rsidR="00103F67">
        <w:rPr>
          <w:rFonts w:ascii="Tahoma" w:hAnsi="Tahoma" w:cs="Tahoma"/>
          <w:color w:val="666666"/>
          <w:sz w:val="20"/>
          <w:szCs w:val="20"/>
        </w:rPr>
        <w:t>ев</w:t>
      </w:r>
      <w:r w:rsidRPr="002C52DA">
        <w:rPr>
          <w:rFonts w:ascii="Tahoma" w:hAnsi="Tahoma" w:cs="Tahoma"/>
          <w:color w:val="666666"/>
          <w:sz w:val="20"/>
          <w:szCs w:val="20"/>
        </w:rPr>
        <w:t>, закончивши</w:t>
      </w:r>
      <w:r w:rsidR="009C734E" w:rsidRPr="002C52DA">
        <w:rPr>
          <w:rFonts w:ascii="Tahoma" w:hAnsi="Tahoma" w:cs="Tahoma"/>
          <w:color w:val="666666"/>
          <w:sz w:val="20"/>
          <w:szCs w:val="20"/>
        </w:rPr>
        <w:t>х</w:t>
      </w:r>
      <w:r w:rsidR="003D1F00" w:rsidRPr="002C52DA">
        <w:rPr>
          <w:rFonts w:ascii="Tahoma" w:hAnsi="Tahoma" w:cs="Tahoma"/>
          <w:color w:val="666666"/>
          <w:sz w:val="20"/>
          <w:szCs w:val="20"/>
        </w:rPr>
        <w:t>ся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F65967" w:rsidRPr="002C52DA">
        <w:rPr>
          <w:rFonts w:ascii="Tahoma" w:hAnsi="Tahoma" w:cs="Tahoma"/>
          <w:color w:val="666666"/>
          <w:sz w:val="20"/>
          <w:szCs w:val="20"/>
        </w:rPr>
        <w:t>3</w:t>
      </w:r>
      <w:r w:rsidR="00103F67">
        <w:rPr>
          <w:rFonts w:ascii="Tahoma" w:hAnsi="Tahoma" w:cs="Tahoma"/>
          <w:color w:val="666666"/>
          <w:sz w:val="20"/>
          <w:szCs w:val="20"/>
        </w:rPr>
        <w:t>0</w:t>
      </w:r>
      <w:r w:rsidR="00F65967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103F67">
        <w:rPr>
          <w:rFonts w:ascii="Tahoma" w:hAnsi="Tahoma" w:cs="Tahoma"/>
          <w:color w:val="666666"/>
          <w:sz w:val="20"/>
          <w:szCs w:val="20"/>
        </w:rPr>
        <w:t>июня</w:t>
      </w:r>
      <w:r w:rsidR="00F65967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C734E" w:rsidRPr="002C52DA">
        <w:rPr>
          <w:rFonts w:ascii="Tahoma" w:hAnsi="Tahoma" w:cs="Tahoma"/>
          <w:color w:val="666666"/>
          <w:sz w:val="20"/>
          <w:szCs w:val="20"/>
        </w:rPr>
        <w:t>201</w:t>
      </w:r>
      <w:r w:rsidR="008D551D" w:rsidRPr="002C52DA">
        <w:rPr>
          <w:rFonts w:ascii="Tahoma" w:hAnsi="Tahoma" w:cs="Tahoma"/>
          <w:color w:val="666666"/>
          <w:sz w:val="20"/>
          <w:szCs w:val="20"/>
        </w:rPr>
        <w:t>5</w:t>
      </w:r>
      <w:r w:rsidR="009C734E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года, содержащую отчет компании ЗАО «Эрнст энд Янг </w:t>
      </w:r>
      <w:proofErr w:type="spellStart"/>
      <w:r w:rsidRPr="002C52DA">
        <w:rPr>
          <w:rFonts w:ascii="Tahoma" w:hAnsi="Tahoma" w:cs="Tahoma"/>
          <w:color w:val="666666"/>
          <w:sz w:val="20"/>
          <w:szCs w:val="20"/>
        </w:rPr>
        <w:t>Внешаудит</w:t>
      </w:r>
      <w:proofErr w:type="spellEnd"/>
      <w:r w:rsidRPr="002C52DA">
        <w:rPr>
          <w:rFonts w:ascii="Tahoma" w:hAnsi="Tahoma" w:cs="Tahoma"/>
          <w:color w:val="666666"/>
          <w:sz w:val="20"/>
          <w:szCs w:val="20"/>
        </w:rPr>
        <w:t xml:space="preserve">» о результатах </w:t>
      </w:r>
      <w:r w:rsidR="009C734E" w:rsidRPr="002C52DA">
        <w:rPr>
          <w:rFonts w:ascii="Tahoma" w:hAnsi="Tahoma" w:cs="Tahoma"/>
          <w:color w:val="666666"/>
          <w:sz w:val="20"/>
          <w:szCs w:val="20"/>
        </w:rPr>
        <w:t xml:space="preserve">обзорной </w:t>
      </w:r>
      <w:r w:rsidRPr="002C52DA">
        <w:rPr>
          <w:rFonts w:ascii="Tahoma" w:hAnsi="Tahoma" w:cs="Tahoma"/>
          <w:color w:val="666666"/>
          <w:sz w:val="20"/>
          <w:szCs w:val="20"/>
        </w:rPr>
        <w:t>пр</w:t>
      </w:r>
      <w:r w:rsidR="0019794C" w:rsidRPr="002C52DA">
        <w:rPr>
          <w:rFonts w:ascii="Tahoma" w:hAnsi="Tahoma" w:cs="Tahoma"/>
          <w:color w:val="666666"/>
          <w:sz w:val="20"/>
          <w:szCs w:val="20"/>
        </w:rPr>
        <w:t>оверки</w:t>
      </w:r>
      <w:r w:rsidRPr="002C52DA">
        <w:rPr>
          <w:rFonts w:ascii="Tahoma" w:hAnsi="Tahoma" w:cs="Tahoma"/>
          <w:color w:val="666666"/>
          <w:sz w:val="20"/>
          <w:szCs w:val="20"/>
        </w:rPr>
        <w:t>.</w:t>
      </w:r>
    </w:p>
    <w:p w:rsidR="003639B8" w:rsidRPr="003639B8" w:rsidRDefault="003639B8" w:rsidP="003639B8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3639B8">
        <w:rPr>
          <w:rFonts w:ascii="Tahoma" w:hAnsi="Tahoma" w:cs="Tahoma"/>
          <w:color w:val="666666"/>
          <w:sz w:val="20"/>
          <w:szCs w:val="20"/>
        </w:rPr>
        <w:t>“Одним из ключевых достижений за отчетный период стал рост достаточност</w:t>
      </w:r>
      <w:r>
        <w:rPr>
          <w:rFonts w:ascii="Tahoma" w:hAnsi="Tahoma" w:cs="Tahoma"/>
          <w:color w:val="666666"/>
          <w:sz w:val="20"/>
          <w:szCs w:val="20"/>
        </w:rPr>
        <w:t>и</w:t>
      </w:r>
      <w:r w:rsidRPr="003639B8">
        <w:rPr>
          <w:rFonts w:ascii="Tahoma" w:hAnsi="Tahoma" w:cs="Tahoma"/>
          <w:color w:val="666666"/>
          <w:sz w:val="20"/>
          <w:szCs w:val="20"/>
        </w:rPr>
        <w:t xml:space="preserve"> общего капитала до 13,4%. Серьезный вклад дал рост квартальной чистой прибыли на 78,4% до 54,6 млрд. руб. Возможность органически наращивать капитал в сложных экономических условиях еще раз подчеркивает высокую надежность Сбербанка” – отметил Заместитель Председателя Правления Сбербанка Александр Морозов</w:t>
      </w:r>
      <w:r w:rsidR="00855405">
        <w:rPr>
          <w:rFonts w:ascii="Tahoma" w:hAnsi="Tahoma" w:cs="Tahoma"/>
          <w:color w:val="666666"/>
          <w:sz w:val="20"/>
          <w:szCs w:val="20"/>
        </w:rPr>
        <w:t>.</w:t>
      </w:r>
    </w:p>
    <w:p w:rsidR="00ED3825" w:rsidRPr="002C52DA" w:rsidRDefault="00ED3825" w:rsidP="00ED3825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2C52DA">
        <w:rPr>
          <w:rStyle w:val="a4"/>
          <w:rFonts w:ascii="Tahoma" w:hAnsi="Tahoma" w:cs="Tahoma"/>
          <w:color w:val="666666"/>
          <w:sz w:val="20"/>
          <w:szCs w:val="20"/>
        </w:rPr>
        <w:t>Основные показатели отчета о прибылях и убытках</w:t>
      </w:r>
      <w:r w:rsidR="009F2AFC">
        <w:rPr>
          <w:rStyle w:val="a4"/>
          <w:rFonts w:ascii="Tahoma" w:hAnsi="Tahoma" w:cs="Tahoma"/>
          <w:color w:val="666666"/>
          <w:sz w:val="20"/>
          <w:szCs w:val="20"/>
        </w:rPr>
        <w:t xml:space="preserve"> и совокупном доходе</w:t>
      </w:r>
      <w:r w:rsidRPr="002C52DA">
        <w:rPr>
          <w:rStyle w:val="a4"/>
          <w:rFonts w:ascii="Tahoma" w:hAnsi="Tahoma" w:cs="Tahoma"/>
          <w:color w:val="666666"/>
          <w:sz w:val="20"/>
          <w:szCs w:val="20"/>
        </w:rPr>
        <w:t>:</w:t>
      </w:r>
    </w:p>
    <w:p w:rsidR="00FE3920" w:rsidRDefault="00ED3825" w:rsidP="000506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2C52DA">
        <w:rPr>
          <w:rStyle w:val="a4"/>
          <w:rFonts w:ascii="Tahoma" w:hAnsi="Tahoma" w:cs="Tahoma"/>
          <w:color w:val="666666"/>
          <w:sz w:val="20"/>
          <w:szCs w:val="20"/>
        </w:rPr>
        <w:t xml:space="preserve">Чистая прибыль </w:t>
      </w:r>
      <w:r w:rsidRPr="00E73EF8">
        <w:rPr>
          <w:rStyle w:val="a4"/>
          <w:rFonts w:ascii="Tahoma" w:hAnsi="Tahoma" w:cs="Tahoma"/>
          <w:color w:val="666666"/>
          <w:sz w:val="20"/>
          <w:szCs w:val="20"/>
        </w:rPr>
        <w:t xml:space="preserve">за </w:t>
      </w:r>
      <w:r w:rsidR="004E3F75" w:rsidRPr="00E73EF8">
        <w:rPr>
          <w:rStyle w:val="a4"/>
          <w:rFonts w:ascii="Tahoma" w:hAnsi="Tahoma" w:cs="Tahoma"/>
          <w:color w:val="666666"/>
          <w:sz w:val="20"/>
          <w:szCs w:val="20"/>
        </w:rPr>
        <w:t>2</w:t>
      </w:r>
      <w:r w:rsidR="00103F67" w:rsidRPr="00E73EF8">
        <w:rPr>
          <w:rStyle w:val="a4"/>
          <w:rFonts w:ascii="Tahoma" w:hAnsi="Tahoma" w:cs="Tahoma"/>
          <w:color w:val="666666"/>
          <w:sz w:val="20"/>
          <w:szCs w:val="20"/>
        </w:rPr>
        <w:t xml:space="preserve"> квартал 2015 года</w:t>
      </w:r>
      <w:r w:rsidR="00103F67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увеличилась на 78,4% и составила </w:t>
      </w:r>
      <w:r w:rsidR="00103F67" w:rsidRPr="00525078">
        <w:rPr>
          <w:rFonts w:ascii="Tahoma" w:hAnsi="Tahoma" w:cs="Tahoma"/>
          <w:b/>
          <w:color w:val="666666"/>
          <w:sz w:val="20"/>
          <w:szCs w:val="20"/>
        </w:rPr>
        <w:t>54,6</w:t>
      </w:r>
      <w:r w:rsidR="00103F67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млрд. руб. (</w:t>
      </w:r>
      <w:r w:rsidR="00103F67">
        <w:rPr>
          <w:rFonts w:ascii="Tahoma" w:hAnsi="Tahoma" w:cs="Tahoma"/>
          <w:color w:val="666666"/>
          <w:sz w:val="20"/>
          <w:szCs w:val="20"/>
        </w:rPr>
        <w:t>2</w:t>
      </w:r>
      <w:r w:rsidR="00103F67" w:rsidRPr="002C52DA">
        <w:rPr>
          <w:rFonts w:ascii="Tahoma" w:hAnsi="Tahoma" w:cs="Tahoma"/>
          <w:color w:val="666666"/>
          <w:sz w:val="20"/>
          <w:szCs w:val="20"/>
        </w:rPr>
        <w:t>,</w:t>
      </w:r>
      <w:r w:rsidR="00103F67">
        <w:rPr>
          <w:rFonts w:ascii="Tahoma" w:hAnsi="Tahoma" w:cs="Tahoma"/>
          <w:color w:val="666666"/>
          <w:sz w:val="20"/>
          <w:szCs w:val="20"/>
        </w:rPr>
        <w:t>50</w:t>
      </w:r>
      <w:r w:rsidR="00103F67" w:rsidRPr="002C52DA">
        <w:rPr>
          <w:rFonts w:ascii="Tahoma" w:hAnsi="Tahoma" w:cs="Tahoma"/>
          <w:color w:val="666666"/>
          <w:sz w:val="20"/>
          <w:szCs w:val="20"/>
        </w:rPr>
        <w:t xml:space="preserve"> руб. на обыкновенную акцию)</w:t>
      </w:r>
      <w:r w:rsidR="00103F67">
        <w:rPr>
          <w:rFonts w:ascii="Tahoma" w:hAnsi="Tahoma" w:cs="Tahoma"/>
          <w:color w:val="666666"/>
          <w:sz w:val="20"/>
          <w:szCs w:val="20"/>
        </w:rPr>
        <w:t xml:space="preserve"> по сравнению </w:t>
      </w:r>
      <w:r w:rsidR="00523BA4">
        <w:rPr>
          <w:rFonts w:ascii="Tahoma" w:hAnsi="Tahoma" w:cs="Tahoma"/>
          <w:color w:val="666666"/>
          <w:sz w:val="20"/>
          <w:szCs w:val="20"/>
          <w:lang w:val="en-US"/>
        </w:rPr>
        <w:t>c</w:t>
      </w:r>
      <w:r w:rsidR="00523BA4" w:rsidRPr="00523BA4">
        <w:rPr>
          <w:rFonts w:ascii="Tahoma" w:hAnsi="Tahoma" w:cs="Tahoma"/>
          <w:color w:val="666666"/>
          <w:sz w:val="20"/>
          <w:szCs w:val="20"/>
        </w:rPr>
        <w:t xml:space="preserve"> </w:t>
      </w:r>
      <w:r w:rsidR="00103F67">
        <w:rPr>
          <w:rFonts w:ascii="Tahoma" w:hAnsi="Tahoma" w:cs="Tahoma"/>
          <w:color w:val="666666"/>
          <w:sz w:val="20"/>
          <w:szCs w:val="20"/>
        </w:rPr>
        <w:t xml:space="preserve">30,6 млрд. руб. </w:t>
      </w:r>
      <w:r w:rsidR="00103F67" w:rsidRPr="002C52DA">
        <w:rPr>
          <w:rFonts w:ascii="Tahoma" w:hAnsi="Tahoma" w:cs="Tahoma"/>
          <w:color w:val="666666"/>
          <w:sz w:val="20"/>
          <w:szCs w:val="20"/>
        </w:rPr>
        <w:t>(1,</w:t>
      </w:r>
      <w:r w:rsidR="00103F67">
        <w:rPr>
          <w:rFonts w:ascii="Tahoma" w:hAnsi="Tahoma" w:cs="Tahoma"/>
          <w:color w:val="666666"/>
          <w:sz w:val="20"/>
          <w:szCs w:val="20"/>
        </w:rPr>
        <w:t>42</w:t>
      </w:r>
      <w:r w:rsidR="00103F67" w:rsidRPr="002C52DA">
        <w:rPr>
          <w:rFonts w:ascii="Tahoma" w:hAnsi="Tahoma" w:cs="Tahoma"/>
          <w:color w:val="666666"/>
          <w:sz w:val="20"/>
          <w:szCs w:val="20"/>
        </w:rPr>
        <w:t xml:space="preserve"> руб. на обыкновенную акцию)</w:t>
      </w:r>
      <w:r w:rsidR="00B94A5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22F5A">
        <w:rPr>
          <w:rFonts w:ascii="Tahoma" w:hAnsi="Tahoma" w:cs="Tahoma"/>
          <w:color w:val="666666"/>
          <w:sz w:val="20"/>
          <w:szCs w:val="20"/>
        </w:rPr>
        <w:t xml:space="preserve">за </w:t>
      </w:r>
      <w:r w:rsidR="004E3F75">
        <w:rPr>
          <w:rFonts w:ascii="Tahoma" w:hAnsi="Tahoma" w:cs="Tahoma"/>
          <w:color w:val="666666"/>
          <w:sz w:val="20"/>
          <w:szCs w:val="20"/>
        </w:rPr>
        <w:t>1</w:t>
      </w:r>
      <w:r w:rsidR="00922F5A">
        <w:rPr>
          <w:rFonts w:ascii="Tahoma" w:hAnsi="Tahoma" w:cs="Tahoma"/>
          <w:color w:val="666666"/>
          <w:sz w:val="20"/>
          <w:szCs w:val="20"/>
        </w:rPr>
        <w:t xml:space="preserve"> квартал 2015 года. </w:t>
      </w:r>
    </w:p>
    <w:p w:rsidR="00ED3825" w:rsidRPr="002A3B6C" w:rsidRDefault="001E76DC" w:rsidP="000506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>Ч</w:t>
      </w:r>
      <w:r w:rsidR="00050653" w:rsidRPr="00525078">
        <w:rPr>
          <w:rFonts w:ascii="Tahoma" w:hAnsi="Tahoma" w:cs="Tahoma"/>
          <w:b/>
          <w:color w:val="666666"/>
          <w:sz w:val="20"/>
          <w:szCs w:val="20"/>
        </w:rPr>
        <w:t>истая прибыль</w:t>
      </w:r>
      <w:r w:rsidR="00050653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94A59" w:rsidRPr="00E73EF8">
        <w:rPr>
          <w:rFonts w:ascii="Tahoma" w:hAnsi="Tahoma" w:cs="Tahoma"/>
          <w:b/>
          <w:color w:val="666666"/>
          <w:sz w:val="20"/>
          <w:szCs w:val="20"/>
        </w:rPr>
        <w:t>за шесть месяцев</w:t>
      </w:r>
      <w:r w:rsidR="00B94A59">
        <w:rPr>
          <w:rFonts w:ascii="Tahoma" w:hAnsi="Tahoma" w:cs="Tahoma"/>
          <w:color w:val="666666"/>
          <w:sz w:val="20"/>
          <w:szCs w:val="20"/>
        </w:rPr>
        <w:t xml:space="preserve">, закончившихся 30 июня 2015 года, сократилась до </w:t>
      </w:r>
      <w:r w:rsidR="00B94A59" w:rsidRPr="00525078">
        <w:rPr>
          <w:rFonts w:ascii="Tahoma" w:hAnsi="Tahoma" w:cs="Tahoma"/>
          <w:b/>
          <w:color w:val="666666"/>
          <w:sz w:val="20"/>
          <w:szCs w:val="20"/>
        </w:rPr>
        <w:t>85,2</w:t>
      </w:r>
      <w:r w:rsidR="00B94A59">
        <w:rPr>
          <w:rFonts w:ascii="Tahoma" w:hAnsi="Tahoma" w:cs="Tahoma"/>
          <w:color w:val="666666"/>
          <w:sz w:val="20"/>
          <w:szCs w:val="20"/>
        </w:rPr>
        <w:t xml:space="preserve"> млрд. руб. (3,92 руб. на обыкновенную акцию) по сравнению со 170,4 млрд. руб. </w:t>
      </w:r>
      <w:r w:rsidR="00B94A59" w:rsidRPr="002A3B6C">
        <w:rPr>
          <w:rFonts w:ascii="Tahoma" w:hAnsi="Tahoma" w:cs="Tahoma"/>
          <w:color w:val="666666"/>
          <w:sz w:val="20"/>
          <w:szCs w:val="20"/>
        </w:rPr>
        <w:t xml:space="preserve">(7,79 руб. на обыкновенную акцию) за 1 полугодие 2014 года. </w:t>
      </w:r>
    </w:p>
    <w:p w:rsidR="00525078" w:rsidRPr="002A3B6C" w:rsidRDefault="00525078" w:rsidP="005250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2A3B6C">
        <w:rPr>
          <w:rFonts w:ascii="Tahoma" w:hAnsi="Tahoma" w:cs="Tahoma"/>
          <w:b/>
          <w:color w:val="666666"/>
          <w:sz w:val="20"/>
          <w:szCs w:val="20"/>
        </w:rPr>
        <w:t>Совокупный доход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за 1 полугодие 2015 года </w:t>
      </w:r>
      <w:r w:rsidR="00922F5A" w:rsidRPr="002A3B6C">
        <w:rPr>
          <w:rFonts w:ascii="Tahoma" w:hAnsi="Tahoma" w:cs="Tahoma"/>
          <w:color w:val="666666"/>
          <w:sz w:val="20"/>
          <w:szCs w:val="20"/>
        </w:rPr>
        <w:t>сохрани</w:t>
      </w:r>
      <w:r w:rsidR="00922F5A">
        <w:rPr>
          <w:rFonts w:ascii="Tahoma" w:hAnsi="Tahoma" w:cs="Tahoma"/>
          <w:color w:val="666666"/>
          <w:sz w:val="20"/>
          <w:szCs w:val="20"/>
        </w:rPr>
        <w:t>лся</w:t>
      </w:r>
      <w:r w:rsidR="00922F5A" w:rsidRPr="002A3B6C">
        <w:rPr>
          <w:rFonts w:ascii="Tahoma" w:hAnsi="Tahoma" w:cs="Tahoma"/>
          <w:color w:val="666666"/>
          <w:sz w:val="20"/>
          <w:szCs w:val="20"/>
        </w:rPr>
        <w:t xml:space="preserve"> на уровне 1 полугодия 2014 года </w:t>
      </w:r>
      <w:r w:rsidR="00922F5A">
        <w:rPr>
          <w:rFonts w:ascii="Tahoma" w:hAnsi="Tahoma" w:cs="Tahoma"/>
          <w:color w:val="666666"/>
          <w:sz w:val="20"/>
          <w:szCs w:val="20"/>
        </w:rPr>
        <w:t xml:space="preserve">и 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составил </w:t>
      </w:r>
      <w:r w:rsidRPr="002A3B6C">
        <w:rPr>
          <w:rFonts w:ascii="Tahoma" w:hAnsi="Tahoma" w:cs="Tahoma"/>
          <w:b/>
          <w:color w:val="666666"/>
          <w:sz w:val="20"/>
          <w:szCs w:val="20"/>
        </w:rPr>
        <w:t>152,1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млрд. руб.</w:t>
      </w:r>
      <w:r w:rsidR="00922F5A">
        <w:rPr>
          <w:rFonts w:ascii="Tahoma" w:hAnsi="Tahoma" w:cs="Tahoma"/>
          <w:color w:val="666666"/>
          <w:sz w:val="20"/>
          <w:szCs w:val="20"/>
        </w:rPr>
        <w:t xml:space="preserve"> против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149,4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 xml:space="preserve"> млрд. руб.</w:t>
      </w:r>
    </w:p>
    <w:p w:rsidR="00551471" w:rsidRPr="002A3B6C" w:rsidRDefault="00551471" w:rsidP="00ED38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2A3B6C">
        <w:rPr>
          <w:rFonts w:ascii="Tahoma" w:hAnsi="Tahoma" w:cs="Tahoma"/>
          <w:b/>
          <w:color w:val="666666"/>
          <w:sz w:val="20"/>
          <w:szCs w:val="20"/>
        </w:rPr>
        <w:t>Чистый процентный доход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452BB" w:rsidRPr="002A3B6C">
        <w:rPr>
          <w:rFonts w:ascii="Tahoma" w:hAnsi="Tahoma" w:cs="Tahoma"/>
          <w:color w:val="666666"/>
          <w:sz w:val="20"/>
          <w:szCs w:val="20"/>
        </w:rPr>
        <w:t xml:space="preserve">за </w:t>
      </w:r>
      <w:r w:rsidR="007947B4" w:rsidRPr="002A3B6C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полугодие</w:t>
      </w:r>
      <w:r w:rsidR="007947B4" w:rsidRPr="002A3B6C">
        <w:rPr>
          <w:rFonts w:ascii="Tahoma" w:hAnsi="Tahoma" w:cs="Tahoma"/>
          <w:color w:val="666666"/>
          <w:sz w:val="20"/>
          <w:szCs w:val="20"/>
        </w:rPr>
        <w:t xml:space="preserve"> 2015</w:t>
      </w:r>
      <w:r w:rsidR="00F06511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452BB" w:rsidRPr="002A3B6C">
        <w:rPr>
          <w:rFonts w:ascii="Tahoma" w:hAnsi="Tahoma" w:cs="Tahoma"/>
          <w:color w:val="666666"/>
          <w:sz w:val="20"/>
          <w:szCs w:val="20"/>
        </w:rPr>
        <w:t>год</w:t>
      </w:r>
      <w:r w:rsidR="00F06511" w:rsidRPr="002A3B6C">
        <w:rPr>
          <w:rFonts w:ascii="Tahoma" w:hAnsi="Tahoma" w:cs="Tahoma"/>
          <w:color w:val="666666"/>
          <w:sz w:val="20"/>
          <w:szCs w:val="20"/>
        </w:rPr>
        <w:t>а</w:t>
      </w:r>
      <w:r w:rsidR="007452BB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72F65" w:rsidRPr="002A3B6C">
        <w:rPr>
          <w:rFonts w:ascii="Tahoma" w:hAnsi="Tahoma" w:cs="Tahoma"/>
          <w:color w:val="666666"/>
          <w:sz w:val="20"/>
          <w:szCs w:val="20"/>
        </w:rPr>
        <w:t>сократился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на </w:t>
      </w:r>
      <w:r w:rsidR="009A2EB9" w:rsidRPr="002A3B6C">
        <w:rPr>
          <w:rFonts w:ascii="Tahoma" w:hAnsi="Tahoma" w:cs="Tahoma"/>
          <w:color w:val="666666"/>
          <w:sz w:val="20"/>
          <w:szCs w:val="20"/>
        </w:rPr>
        <w:t>1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2</w:t>
      </w:r>
      <w:r w:rsidRPr="002A3B6C">
        <w:rPr>
          <w:rFonts w:ascii="Tahoma" w:hAnsi="Tahoma" w:cs="Tahoma"/>
          <w:color w:val="666666"/>
          <w:sz w:val="20"/>
          <w:szCs w:val="20"/>
        </w:rPr>
        <w:t>,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8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% и составил </w:t>
      </w:r>
      <w:r w:rsidR="00F43E89" w:rsidRPr="002A3B6C">
        <w:rPr>
          <w:rFonts w:ascii="Tahoma" w:hAnsi="Tahoma" w:cs="Tahoma"/>
          <w:b/>
          <w:color w:val="666666"/>
          <w:sz w:val="20"/>
          <w:szCs w:val="20"/>
        </w:rPr>
        <w:t>427</w:t>
      </w:r>
      <w:r w:rsidRPr="002A3B6C">
        <w:rPr>
          <w:rFonts w:ascii="Tahoma" w:hAnsi="Tahoma" w:cs="Tahoma"/>
          <w:b/>
          <w:color w:val="666666"/>
          <w:sz w:val="20"/>
          <w:szCs w:val="20"/>
        </w:rPr>
        <w:t>,</w:t>
      </w:r>
      <w:r w:rsidR="00F43E89" w:rsidRPr="002A3B6C">
        <w:rPr>
          <w:rFonts w:ascii="Tahoma" w:hAnsi="Tahoma" w:cs="Tahoma"/>
          <w:b/>
          <w:color w:val="666666"/>
          <w:sz w:val="20"/>
          <w:szCs w:val="20"/>
        </w:rPr>
        <w:t>4</w:t>
      </w:r>
      <w:r w:rsidR="004947F3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A3B6C">
        <w:rPr>
          <w:rFonts w:ascii="Tahoma" w:hAnsi="Tahoma" w:cs="Tahoma"/>
          <w:color w:val="666666"/>
          <w:sz w:val="20"/>
          <w:szCs w:val="20"/>
        </w:rPr>
        <w:t>млрд. руб</w:t>
      </w:r>
      <w:r w:rsidR="006C2084" w:rsidRPr="002A3B6C">
        <w:rPr>
          <w:rFonts w:ascii="Tahoma" w:hAnsi="Tahoma" w:cs="Tahoma"/>
          <w:color w:val="666666"/>
          <w:sz w:val="20"/>
          <w:szCs w:val="20"/>
        </w:rPr>
        <w:t>.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по сравнению с 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489</w:t>
      </w:r>
      <w:r w:rsidRPr="002A3B6C">
        <w:rPr>
          <w:rFonts w:ascii="Tahoma" w:hAnsi="Tahoma" w:cs="Tahoma"/>
          <w:color w:val="666666"/>
          <w:sz w:val="20"/>
          <w:szCs w:val="20"/>
        </w:rPr>
        <w:t>,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9</w:t>
      </w:r>
      <w:r w:rsidR="004947F3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A3B6C">
        <w:rPr>
          <w:rFonts w:ascii="Tahoma" w:hAnsi="Tahoma" w:cs="Tahoma"/>
          <w:color w:val="666666"/>
          <w:sz w:val="20"/>
          <w:szCs w:val="20"/>
        </w:rPr>
        <w:t>млрд. руб</w:t>
      </w:r>
      <w:r w:rsidR="006C2084" w:rsidRPr="002A3B6C">
        <w:rPr>
          <w:rFonts w:ascii="Tahoma" w:hAnsi="Tahoma" w:cs="Tahoma"/>
          <w:color w:val="666666"/>
          <w:sz w:val="20"/>
          <w:szCs w:val="20"/>
        </w:rPr>
        <w:t>.</w:t>
      </w:r>
      <w:r w:rsidR="00FC2BC7" w:rsidRPr="002A3B6C">
        <w:rPr>
          <w:rFonts w:ascii="Tahoma" w:hAnsi="Tahoma" w:cs="Tahoma"/>
          <w:color w:val="666666"/>
          <w:sz w:val="20"/>
          <w:szCs w:val="20"/>
        </w:rPr>
        <w:t xml:space="preserve"> за </w:t>
      </w:r>
      <w:r w:rsidR="00F10CAE" w:rsidRPr="002A3B6C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полугодие</w:t>
      </w:r>
      <w:r w:rsidR="004947F3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F06511" w:rsidRPr="002A3B6C">
        <w:rPr>
          <w:rFonts w:ascii="Tahoma" w:hAnsi="Tahoma" w:cs="Tahoma"/>
          <w:color w:val="666666"/>
          <w:sz w:val="20"/>
          <w:szCs w:val="20"/>
        </w:rPr>
        <w:t>201</w:t>
      </w:r>
      <w:r w:rsidR="00972F65" w:rsidRPr="002A3B6C">
        <w:rPr>
          <w:rFonts w:ascii="Tahoma" w:hAnsi="Tahoma" w:cs="Tahoma"/>
          <w:color w:val="666666"/>
          <w:sz w:val="20"/>
          <w:szCs w:val="20"/>
        </w:rPr>
        <w:t>4</w:t>
      </w:r>
      <w:r w:rsidR="00F06511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FC2BC7" w:rsidRPr="002A3B6C">
        <w:rPr>
          <w:rFonts w:ascii="Tahoma" w:hAnsi="Tahoma" w:cs="Tahoma"/>
          <w:color w:val="666666"/>
          <w:sz w:val="20"/>
          <w:szCs w:val="20"/>
        </w:rPr>
        <w:t>год</w:t>
      </w:r>
      <w:r w:rsidR="00F06511" w:rsidRPr="002A3B6C">
        <w:rPr>
          <w:rFonts w:ascii="Tahoma" w:hAnsi="Tahoma" w:cs="Tahoma"/>
          <w:color w:val="666666"/>
          <w:sz w:val="20"/>
          <w:szCs w:val="20"/>
        </w:rPr>
        <w:t>а</w:t>
      </w:r>
      <w:r w:rsidR="00FC2BC7" w:rsidRPr="002A3B6C">
        <w:rPr>
          <w:rFonts w:ascii="Tahoma" w:hAnsi="Tahoma" w:cs="Tahoma"/>
          <w:color w:val="666666"/>
          <w:sz w:val="20"/>
          <w:szCs w:val="20"/>
        </w:rPr>
        <w:t>.</w:t>
      </w:r>
    </w:p>
    <w:p w:rsidR="004E31A7" w:rsidRPr="002A3B6C" w:rsidRDefault="00440892" w:rsidP="00ED38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2A3B6C">
        <w:rPr>
          <w:rFonts w:ascii="Tahoma" w:hAnsi="Tahoma" w:cs="Tahoma"/>
          <w:b/>
          <w:bCs/>
          <w:color w:val="666666"/>
          <w:sz w:val="20"/>
          <w:szCs w:val="20"/>
        </w:rPr>
        <w:t>Чистый комиссионный доход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за </w:t>
      </w:r>
      <w:r w:rsidR="007947B4" w:rsidRPr="002A3B6C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полугодие</w:t>
      </w:r>
      <w:r w:rsidR="007947B4" w:rsidRPr="002A3B6C">
        <w:rPr>
          <w:rFonts w:ascii="Tahoma" w:hAnsi="Tahoma" w:cs="Tahoma"/>
          <w:color w:val="666666"/>
          <w:sz w:val="20"/>
          <w:szCs w:val="20"/>
        </w:rPr>
        <w:t xml:space="preserve"> 2015</w:t>
      </w:r>
      <w:r w:rsidR="00B564F0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A3B6C">
        <w:rPr>
          <w:rFonts w:ascii="Tahoma" w:hAnsi="Tahoma" w:cs="Tahoma"/>
          <w:color w:val="666666"/>
          <w:sz w:val="20"/>
          <w:szCs w:val="20"/>
        </w:rPr>
        <w:t>год</w:t>
      </w:r>
      <w:r w:rsidR="00B564F0" w:rsidRPr="002A3B6C">
        <w:rPr>
          <w:rFonts w:ascii="Tahoma" w:hAnsi="Tahoma" w:cs="Tahoma"/>
          <w:color w:val="666666"/>
          <w:sz w:val="20"/>
          <w:szCs w:val="20"/>
        </w:rPr>
        <w:t>а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составил </w:t>
      </w:r>
      <w:r w:rsidR="00F43E89" w:rsidRPr="002A3B6C">
        <w:rPr>
          <w:rFonts w:ascii="Tahoma" w:hAnsi="Tahoma" w:cs="Tahoma"/>
          <w:b/>
          <w:color w:val="666666"/>
          <w:sz w:val="20"/>
          <w:szCs w:val="20"/>
        </w:rPr>
        <w:t>146</w:t>
      </w:r>
      <w:r w:rsidRPr="002A3B6C">
        <w:rPr>
          <w:rFonts w:ascii="Tahoma" w:hAnsi="Tahoma" w:cs="Tahoma"/>
          <w:b/>
          <w:color w:val="666666"/>
          <w:sz w:val="20"/>
          <w:szCs w:val="20"/>
        </w:rPr>
        <w:t>,</w:t>
      </w:r>
      <w:r w:rsidR="00F43E89" w:rsidRPr="002A3B6C">
        <w:rPr>
          <w:rFonts w:ascii="Tahoma" w:hAnsi="Tahoma" w:cs="Tahoma"/>
          <w:b/>
          <w:color w:val="666666"/>
          <w:sz w:val="20"/>
          <w:szCs w:val="20"/>
        </w:rPr>
        <w:t>8</w:t>
      </w:r>
      <w:r w:rsidR="004947F3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млрд. руб., что на </w:t>
      </w:r>
      <w:r w:rsidR="003D7E41" w:rsidRPr="002A3B6C">
        <w:rPr>
          <w:rFonts w:ascii="Tahoma" w:hAnsi="Tahoma" w:cs="Tahoma"/>
          <w:color w:val="666666"/>
          <w:sz w:val="20"/>
          <w:szCs w:val="20"/>
        </w:rPr>
        <w:t>1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7</w:t>
      </w:r>
      <w:r w:rsidRPr="002A3B6C">
        <w:rPr>
          <w:rFonts w:ascii="Tahoma" w:hAnsi="Tahoma" w:cs="Tahoma"/>
          <w:color w:val="666666"/>
          <w:sz w:val="20"/>
          <w:szCs w:val="20"/>
        </w:rPr>
        <w:t>,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3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% превышает показатель </w:t>
      </w:r>
      <w:r w:rsidR="00F10CAE" w:rsidRPr="002A3B6C">
        <w:rPr>
          <w:rFonts w:ascii="Tahoma" w:hAnsi="Tahoma" w:cs="Tahoma"/>
          <w:color w:val="666666"/>
          <w:sz w:val="20"/>
          <w:szCs w:val="20"/>
        </w:rPr>
        <w:t>1</w:t>
      </w:r>
      <w:r w:rsidR="009A2EB9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полугодия</w:t>
      </w:r>
      <w:r w:rsidR="004947F3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E31A7" w:rsidRPr="002A3B6C">
        <w:rPr>
          <w:rFonts w:ascii="Tahoma" w:hAnsi="Tahoma" w:cs="Tahoma"/>
          <w:color w:val="666666"/>
          <w:sz w:val="20"/>
          <w:szCs w:val="20"/>
        </w:rPr>
        <w:t>201</w:t>
      </w:r>
      <w:r w:rsidR="003D7E41" w:rsidRPr="002A3B6C">
        <w:rPr>
          <w:rFonts w:ascii="Tahoma" w:hAnsi="Tahoma" w:cs="Tahoma"/>
          <w:color w:val="666666"/>
          <w:sz w:val="20"/>
          <w:szCs w:val="20"/>
        </w:rPr>
        <w:t>4</w:t>
      </w:r>
      <w:r w:rsidR="004E31A7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A3B6C">
        <w:rPr>
          <w:rFonts w:ascii="Tahoma" w:hAnsi="Tahoma" w:cs="Tahoma"/>
          <w:color w:val="666666"/>
          <w:sz w:val="20"/>
          <w:szCs w:val="20"/>
        </w:rPr>
        <w:t>года (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125</w:t>
      </w:r>
      <w:r w:rsidRPr="002A3B6C">
        <w:rPr>
          <w:rFonts w:ascii="Tahoma" w:hAnsi="Tahoma" w:cs="Tahoma"/>
          <w:color w:val="666666"/>
          <w:sz w:val="20"/>
          <w:szCs w:val="20"/>
        </w:rPr>
        <w:t>,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1</w:t>
      </w:r>
      <w:r w:rsidR="004947F3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A3B6C">
        <w:rPr>
          <w:rFonts w:ascii="Tahoma" w:hAnsi="Tahoma" w:cs="Tahoma"/>
          <w:color w:val="666666"/>
          <w:sz w:val="20"/>
          <w:szCs w:val="20"/>
        </w:rPr>
        <w:t>млрд. руб.)</w:t>
      </w:r>
      <w:r w:rsidR="00CA057F" w:rsidRPr="002A3B6C">
        <w:rPr>
          <w:rFonts w:ascii="Tahoma" w:hAnsi="Tahoma" w:cs="Tahoma"/>
          <w:color w:val="666666"/>
          <w:sz w:val="20"/>
          <w:szCs w:val="20"/>
        </w:rPr>
        <w:t>.</w:t>
      </w:r>
      <w:r w:rsidR="004E31A7" w:rsidRPr="002A3B6C" w:rsidDel="004E31A7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ED3825" w:rsidRPr="002A3B6C" w:rsidRDefault="00ED3825" w:rsidP="00ED38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Style w:val="a4"/>
          <w:rFonts w:ascii="Tahoma" w:hAnsi="Tahoma" w:cs="Tahoma"/>
          <w:b w:val="0"/>
          <w:color w:val="666666"/>
          <w:sz w:val="20"/>
          <w:szCs w:val="20"/>
        </w:rPr>
      </w:pPr>
      <w:r w:rsidRPr="002A3B6C">
        <w:rPr>
          <w:rStyle w:val="a4"/>
          <w:rFonts w:ascii="Tahoma" w:hAnsi="Tahoma" w:cs="Tahoma"/>
          <w:color w:val="666666"/>
          <w:sz w:val="20"/>
          <w:szCs w:val="20"/>
        </w:rPr>
        <w:t xml:space="preserve">Операционные доходы Группы до </w:t>
      </w:r>
      <w:r w:rsidR="008654B1" w:rsidRPr="002A3B6C">
        <w:rPr>
          <w:rStyle w:val="a4"/>
          <w:rFonts w:ascii="Tahoma" w:hAnsi="Tahoma" w:cs="Tahoma"/>
          <w:color w:val="666666"/>
          <w:sz w:val="20"/>
          <w:szCs w:val="20"/>
        </w:rPr>
        <w:t xml:space="preserve">расходов по созданию </w:t>
      </w:r>
      <w:r w:rsidRPr="002A3B6C">
        <w:rPr>
          <w:rStyle w:val="a4"/>
          <w:rFonts w:ascii="Tahoma" w:hAnsi="Tahoma" w:cs="Tahoma"/>
          <w:color w:val="666666"/>
          <w:sz w:val="20"/>
          <w:szCs w:val="20"/>
        </w:rPr>
        <w:t>резерв</w:t>
      </w:r>
      <w:r w:rsidR="00474E4C" w:rsidRPr="002A3B6C">
        <w:rPr>
          <w:rStyle w:val="a4"/>
          <w:rFonts w:ascii="Tahoma" w:hAnsi="Tahoma" w:cs="Tahoma"/>
          <w:color w:val="666666"/>
          <w:sz w:val="20"/>
          <w:szCs w:val="20"/>
        </w:rPr>
        <w:t>а</w:t>
      </w:r>
      <w:r w:rsidRPr="002A3B6C">
        <w:rPr>
          <w:rStyle w:val="a4"/>
          <w:rFonts w:ascii="Tahoma" w:hAnsi="Tahoma" w:cs="Tahoma"/>
          <w:color w:val="666666"/>
          <w:sz w:val="20"/>
          <w:szCs w:val="20"/>
        </w:rPr>
        <w:t xml:space="preserve"> под обесценение </w:t>
      </w:r>
      <w:r w:rsidR="009A2EB9" w:rsidRPr="002A3B6C">
        <w:rPr>
          <w:rStyle w:val="a4"/>
          <w:rFonts w:ascii="Tahoma" w:hAnsi="Tahoma" w:cs="Tahoma"/>
          <w:color w:val="666666"/>
          <w:sz w:val="20"/>
          <w:szCs w:val="20"/>
        </w:rPr>
        <w:t xml:space="preserve">долговых финансовых </w:t>
      </w:r>
      <w:r w:rsidR="00D046E2" w:rsidRPr="002A3B6C">
        <w:rPr>
          <w:rStyle w:val="a4"/>
          <w:rFonts w:ascii="Tahoma" w:hAnsi="Tahoma" w:cs="Tahoma"/>
          <w:color w:val="666666"/>
          <w:sz w:val="20"/>
          <w:szCs w:val="20"/>
        </w:rPr>
        <w:t xml:space="preserve">активов </w:t>
      </w:r>
      <w:r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увеличились на 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3</w:t>
      </w:r>
      <w:r w:rsidRPr="002A3B6C">
        <w:rPr>
          <w:rFonts w:ascii="Tahoma" w:hAnsi="Tahoma" w:cs="Tahoma"/>
          <w:color w:val="666666"/>
          <w:sz w:val="20"/>
          <w:szCs w:val="20"/>
        </w:rPr>
        <w:t>,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6</w:t>
      </w:r>
      <w:r w:rsidRPr="002A3B6C">
        <w:rPr>
          <w:rFonts w:ascii="Tahoma" w:hAnsi="Tahoma" w:cs="Tahoma"/>
          <w:color w:val="666666"/>
          <w:sz w:val="20"/>
          <w:szCs w:val="20"/>
        </w:rPr>
        <w:t>%,</w:t>
      </w:r>
      <w:r w:rsidRPr="002A3B6C">
        <w:rPr>
          <w:bCs/>
        </w:rPr>
        <w:t xml:space="preserve"> </w:t>
      </w:r>
      <w:r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составив </w:t>
      </w:r>
      <w:r w:rsidR="00F43E89" w:rsidRPr="002A3B6C">
        <w:rPr>
          <w:rFonts w:ascii="Tahoma" w:hAnsi="Tahoma" w:cs="Tahoma"/>
          <w:b/>
          <w:color w:val="666666"/>
          <w:sz w:val="20"/>
          <w:szCs w:val="20"/>
        </w:rPr>
        <w:t>643</w:t>
      </w:r>
      <w:r w:rsidRPr="002A3B6C">
        <w:rPr>
          <w:rFonts w:ascii="Tahoma" w:hAnsi="Tahoma" w:cs="Tahoma"/>
          <w:b/>
          <w:color w:val="666666"/>
          <w:sz w:val="20"/>
          <w:szCs w:val="20"/>
        </w:rPr>
        <w:t>,</w:t>
      </w:r>
      <w:r w:rsidR="00F43E89" w:rsidRPr="002A3B6C">
        <w:rPr>
          <w:rFonts w:ascii="Tahoma" w:hAnsi="Tahoma" w:cs="Tahoma"/>
          <w:b/>
          <w:color w:val="666666"/>
          <w:sz w:val="20"/>
          <w:szCs w:val="20"/>
        </w:rPr>
        <w:t xml:space="preserve">7 </w:t>
      </w:r>
      <w:r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>млрд. руб</w:t>
      </w:r>
      <w:r w:rsidR="00266683"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>.</w:t>
      </w:r>
      <w:r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в сравнении с 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621</w:t>
      </w:r>
      <w:r w:rsidRPr="002A3B6C">
        <w:rPr>
          <w:rFonts w:ascii="Tahoma" w:hAnsi="Tahoma" w:cs="Tahoma"/>
          <w:color w:val="666666"/>
          <w:sz w:val="20"/>
          <w:szCs w:val="20"/>
        </w:rPr>
        <w:t>,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1</w:t>
      </w:r>
      <w:r w:rsidR="000E1518" w:rsidRPr="002A3B6C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>млрд. руб</w:t>
      </w:r>
      <w:r w:rsidR="00266683"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>.</w:t>
      </w:r>
      <w:r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за </w:t>
      </w:r>
      <w:r w:rsidR="000F29BA"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1 </w:t>
      </w:r>
      <w:r w:rsidR="00F43E89"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>полугодие</w:t>
      </w:r>
      <w:r w:rsidR="000F29BA"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2014</w:t>
      </w:r>
      <w:r w:rsidR="00994A96"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>год</w:t>
      </w:r>
      <w:r w:rsidR="00994A96"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>а</w:t>
      </w:r>
      <w:r w:rsidR="00030716" w:rsidRPr="002A3B6C">
        <w:rPr>
          <w:rFonts w:ascii="Tahoma" w:hAnsi="Tahoma" w:cs="Tahoma"/>
          <w:color w:val="666666"/>
          <w:sz w:val="20"/>
          <w:szCs w:val="20"/>
        </w:rPr>
        <w:t>.</w:t>
      </w:r>
    </w:p>
    <w:p w:rsidR="00ED3825" w:rsidRPr="002A3B6C" w:rsidRDefault="00C957C8" w:rsidP="00ED38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2A3B6C">
        <w:rPr>
          <w:rFonts w:ascii="Tahoma" w:hAnsi="Tahoma" w:cs="Tahoma"/>
          <w:b/>
          <w:color w:val="666666"/>
          <w:sz w:val="20"/>
          <w:szCs w:val="20"/>
        </w:rPr>
        <w:t>Операционные расходы</w:t>
      </w:r>
      <w:r w:rsidRPr="002A3B6C">
        <w:rPr>
          <w:rStyle w:val="a4"/>
          <w:rFonts w:ascii="Tahoma" w:hAnsi="Tahoma" w:cs="Tahoma"/>
          <w:color w:val="666666"/>
          <w:sz w:val="20"/>
          <w:szCs w:val="20"/>
        </w:rPr>
        <w:t xml:space="preserve"> </w:t>
      </w:r>
      <w:r w:rsidR="009A2EB9" w:rsidRPr="002A3B6C">
        <w:rPr>
          <w:rFonts w:ascii="Tahoma" w:hAnsi="Tahoma" w:cs="Tahoma"/>
          <w:color w:val="666666"/>
          <w:sz w:val="20"/>
          <w:szCs w:val="20"/>
        </w:rPr>
        <w:t xml:space="preserve">за </w:t>
      </w:r>
      <w:r w:rsidR="007947B4" w:rsidRPr="002A3B6C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F43E89"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полугодие </w:t>
      </w:r>
      <w:r w:rsidR="007947B4" w:rsidRPr="002A3B6C">
        <w:rPr>
          <w:rFonts w:ascii="Tahoma" w:hAnsi="Tahoma" w:cs="Tahoma"/>
          <w:color w:val="666666"/>
          <w:sz w:val="20"/>
          <w:szCs w:val="20"/>
        </w:rPr>
        <w:t>2015</w:t>
      </w:r>
      <w:r w:rsidR="009A2EB9" w:rsidRPr="002A3B6C">
        <w:rPr>
          <w:rFonts w:ascii="Tahoma" w:hAnsi="Tahoma" w:cs="Tahoma"/>
          <w:color w:val="666666"/>
          <w:sz w:val="20"/>
          <w:szCs w:val="20"/>
        </w:rPr>
        <w:t xml:space="preserve"> года 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выросли на </w:t>
      </w:r>
      <w:r w:rsidR="009A2EB9" w:rsidRPr="002A3B6C">
        <w:rPr>
          <w:rFonts w:ascii="Tahoma" w:hAnsi="Tahoma" w:cs="Tahoma"/>
          <w:color w:val="666666"/>
          <w:sz w:val="20"/>
          <w:szCs w:val="20"/>
        </w:rPr>
        <w:t>1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2</w:t>
      </w:r>
      <w:r w:rsidRPr="002A3B6C">
        <w:rPr>
          <w:rFonts w:ascii="Tahoma" w:hAnsi="Tahoma" w:cs="Tahoma"/>
          <w:color w:val="666666"/>
          <w:sz w:val="20"/>
          <w:szCs w:val="20"/>
        </w:rPr>
        <w:t>,</w:t>
      </w:r>
      <w:r w:rsidR="00F43E89" w:rsidRPr="002A3B6C">
        <w:rPr>
          <w:rFonts w:ascii="Tahoma" w:hAnsi="Tahoma" w:cs="Tahoma"/>
          <w:color w:val="666666"/>
          <w:sz w:val="20"/>
          <w:szCs w:val="20"/>
        </w:rPr>
        <w:t>4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% в сравнении </w:t>
      </w:r>
      <w:r w:rsidR="0073779E" w:rsidRPr="002A3B6C">
        <w:rPr>
          <w:rFonts w:ascii="Tahoma" w:hAnsi="Tahoma" w:cs="Tahoma"/>
          <w:color w:val="666666"/>
          <w:sz w:val="20"/>
          <w:szCs w:val="20"/>
          <w:lang w:val="en-US"/>
        </w:rPr>
        <w:t>c</w:t>
      </w:r>
      <w:r w:rsidR="0073779E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14478" w:rsidRPr="002A3B6C">
        <w:rPr>
          <w:rFonts w:ascii="Tahoma" w:hAnsi="Tahoma" w:cs="Tahoma"/>
          <w:color w:val="666666"/>
          <w:sz w:val="20"/>
          <w:szCs w:val="20"/>
        </w:rPr>
        <w:t xml:space="preserve">аналогичным периодом </w:t>
      </w:r>
      <w:r w:rsidRPr="002A3B6C">
        <w:rPr>
          <w:rFonts w:ascii="Tahoma" w:hAnsi="Tahoma" w:cs="Tahoma"/>
          <w:color w:val="666666"/>
          <w:sz w:val="20"/>
          <w:szCs w:val="20"/>
        </w:rPr>
        <w:t>201</w:t>
      </w:r>
      <w:r w:rsidR="00C04B27" w:rsidRPr="002A3B6C">
        <w:rPr>
          <w:rFonts w:ascii="Tahoma" w:hAnsi="Tahoma" w:cs="Tahoma"/>
          <w:color w:val="666666"/>
          <w:sz w:val="20"/>
          <w:szCs w:val="20"/>
        </w:rPr>
        <w:t>4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14478" w:rsidRPr="002A3B6C">
        <w:rPr>
          <w:rFonts w:ascii="Tahoma" w:hAnsi="Tahoma" w:cs="Tahoma"/>
          <w:color w:val="666666"/>
          <w:sz w:val="20"/>
          <w:szCs w:val="20"/>
        </w:rPr>
        <w:t>года</w:t>
      </w:r>
      <w:r w:rsidR="008879D1" w:rsidRPr="002A3B6C">
        <w:rPr>
          <w:rFonts w:ascii="Tahoma" w:hAnsi="Tahoma" w:cs="Tahoma"/>
          <w:color w:val="666666"/>
          <w:sz w:val="20"/>
          <w:szCs w:val="20"/>
        </w:rPr>
        <w:t xml:space="preserve">, </w:t>
      </w:r>
      <w:r w:rsidR="00C93253" w:rsidRPr="002A3B6C">
        <w:rPr>
          <w:rFonts w:ascii="Tahoma" w:hAnsi="Tahoma" w:cs="Tahoma"/>
          <w:color w:val="666666"/>
          <w:sz w:val="20"/>
          <w:szCs w:val="20"/>
        </w:rPr>
        <w:t xml:space="preserve">при этом </w:t>
      </w:r>
      <w:r w:rsidR="00451AA6" w:rsidRPr="002A3B6C">
        <w:rPr>
          <w:rStyle w:val="a4"/>
          <w:rFonts w:ascii="Tahoma" w:hAnsi="Tahoma" w:cs="Tahoma"/>
          <w:color w:val="666666"/>
          <w:sz w:val="20"/>
          <w:szCs w:val="20"/>
        </w:rPr>
        <w:t>отношени</w:t>
      </w:r>
      <w:r w:rsidR="00C93253" w:rsidRPr="002A3B6C">
        <w:rPr>
          <w:rStyle w:val="a4"/>
          <w:rFonts w:ascii="Tahoma" w:hAnsi="Tahoma" w:cs="Tahoma"/>
          <w:color w:val="666666"/>
          <w:sz w:val="20"/>
          <w:szCs w:val="20"/>
        </w:rPr>
        <w:t>е</w:t>
      </w:r>
      <w:r w:rsidR="00ED3825" w:rsidRPr="002A3B6C">
        <w:rPr>
          <w:rStyle w:val="a4"/>
          <w:rFonts w:ascii="Tahoma" w:hAnsi="Tahoma" w:cs="Tahoma"/>
          <w:color w:val="666666"/>
          <w:sz w:val="20"/>
          <w:szCs w:val="20"/>
        </w:rPr>
        <w:t xml:space="preserve"> операционных расходов к доходам</w:t>
      </w:r>
      <w:r w:rsidR="00FE3920" w:rsidRPr="00E73EF8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во 2 квартале</w:t>
      </w:r>
      <w:r w:rsidR="00FE3920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2015 года составило </w:t>
      </w:r>
      <w:r w:rsidR="00FE3920" w:rsidRPr="00E73EF8">
        <w:rPr>
          <w:rStyle w:val="a4"/>
          <w:rFonts w:ascii="Tahoma" w:hAnsi="Tahoma" w:cs="Tahoma"/>
          <w:color w:val="666666"/>
          <w:sz w:val="20"/>
          <w:szCs w:val="20"/>
        </w:rPr>
        <w:t>43,3</w:t>
      </w:r>
      <w:r w:rsidR="00FE3920" w:rsidRPr="00E73EF8">
        <w:rPr>
          <w:rStyle w:val="a4"/>
          <w:rFonts w:ascii="Tahoma" w:hAnsi="Tahoma" w:cs="Tahoma"/>
          <w:b w:val="0"/>
          <w:color w:val="666666"/>
          <w:sz w:val="20"/>
          <w:szCs w:val="20"/>
        </w:rPr>
        <w:t>%</w:t>
      </w:r>
      <w:r w:rsidR="00FE3920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по сравнению с 45,8% в 1 квартале 2015 года. За 1 полугодие 2015 года </w:t>
      </w:r>
      <w:r w:rsidR="00ED3825" w:rsidRPr="00E73EF8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 w:rsidR="00FE3920" w:rsidRPr="00E73EF8">
        <w:rPr>
          <w:rFonts w:ascii="Tahoma" w:hAnsi="Tahoma" w:cs="Tahoma"/>
          <w:color w:val="666666"/>
          <w:sz w:val="20"/>
          <w:szCs w:val="20"/>
        </w:rPr>
        <w:t>данный показатель</w:t>
      </w:r>
      <w:r w:rsidR="00FE3920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 w:rsidR="00451AA6" w:rsidRPr="002A3B6C">
        <w:rPr>
          <w:rFonts w:ascii="Tahoma" w:hAnsi="Tahoma" w:cs="Tahoma"/>
          <w:color w:val="666666"/>
          <w:sz w:val="20"/>
          <w:szCs w:val="20"/>
        </w:rPr>
        <w:t xml:space="preserve"> состав</w:t>
      </w:r>
      <w:r w:rsidR="00FE3920">
        <w:rPr>
          <w:rFonts w:ascii="Tahoma" w:hAnsi="Tahoma" w:cs="Tahoma"/>
          <w:color w:val="666666"/>
          <w:sz w:val="20"/>
          <w:szCs w:val="20"/>
        </w:rPr>
        <w:t>ил</w:t>
      </w:r>
      <w:r w:rsidR="00ED3825" w:rsidRPr="002A3B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F75EFB" w:rsidRPr="002A3B6C">
        <w:rPr>
          <w:rStyle w:val="a4"/>
          <w:rFonts w:ascii="Tahoma" w:hAnsi="Tahoma" w:cs="Tahoma"/>
          <w:color w:val="666666"/>
          <w:sz w:val="20"/>
          <w:szCs w:val="20"/>
        </w:rPr>
        <w:t>4</w:t>
      </w:r>
      <w:r w:rsidR="00F43E89" w:rsidRPr="002A3B6C">
        <w:rPr>
          <w:rStyle w:val="a4"/>
          <w:rFonts w:ascii="Tahoma" w:hAnsi="Tahoma" w:cs="Tahoma"/>
          <w:color w:val="666666"/>
          <w:sz w:val="20"/>
          <w:szCs w:val="20"/>
        </w:rPr>
        <w:t>4</w:t>
      </w:r>
      <w:r w:rsidR="00ED3825" w:rsidRPr="002A3B6C">
        <w:rPr>
          <w:rStyle w:val="a4"/>
          <w:rFonts w:ascii="Tahoma" w:hAnsi="Tahoma" w:cs="Tahoma"/>
          <w:color w:val="666666"/>
          <w:sz w:val="20"/>
          <w:szCs w:val="20"/>
        </w:rPr>
        <w:t>,</w:t>
      </w:r>
      <w:r w:rsidR="00F43E89" w:rsidRPr="002A3B6C">
        <w:rPr>
          <w:rStyle w:val="a4"/>
          <w:rFonts w:ascii="Tahoma" w:hAnsi="Tahoma" w:cs="Tahoma"/>
          <w:color w:val="666666"/>
          <w:sz w:val="20"/>
          <w:szCs w:val="20"/>
        </w:rPr>
        <w:t>5</w:t>
      </w:r>
      <w:r w:rsidR="00ED3825" w:rsidRPr="00E73EF8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% </w:t>
      </w:r>
      <w:r w:rsidR="00ED3825" w:rsidRPr="002A3B6C">
        <w:rPr>
          <w:rFonts w:ascii="Tahoma" w:hAnsi="Tahoma" w:cs="Tahoma"/>
          <w:bCs/>
          <w:color w:val="666666"/>
          <w:sz w:val="20"/>
          <w:szCs w:val="20"/>
        </w:rPr>
        <w:t xml:space="preserve">по сравнению с </w:t>
      </w:r>
      <w:r w:rsidR="00F75EFB" w:rsidRPr="002A3B6C">
        <w:rPr>
          <w:rFonts w:ascii="Tahoma" w:hAnsi="Tahoma" w:cs="Tahoma"/>
          <w:bCs/>
          <w:color w:val="666666"/>
          <w:sz w:val="20"/>
          <w:szCs w:val="20"/>
        </w:rPr>
        <w:t>4</w:t>
      </w:r>
      <w:r w:rsidR="00DE7F2B" w:rsidRPr="002A3B6C">
        <w:rPr>
          <w:rFonts w:ascii="Tahoma" w:hAnsi="Tahoma" w:cs="Tahoma"/>
          <w:bCs/>
          <w:color w:val="666666"/>
          <w:sz w:val="20"/>
          <w:szCs w:val="20"/>
        </w:rPr>
        <w:t>1</w:t>
      </w:r>
      <w:r w:rsidR="00ED3825" w:rsidRPr="002A3B6C">
        <w:rPr>
          <w:rFonts w:ascii="Tahoma" w:hAnsi="Tahoma" w:cs="Tahoma"/>
          <w:bCs/>
          <w:color w:val="666666"/>
          <w:sz w:val="20"/>
          <w:szCs w:val="20"/>
        </w:rPr>
        <w:t>,</w:t>
      </w:r>
      <w:r w:rsidR="00F43E89" w:rsidRPr="002A3B6C">
        <w:rPr>
          <w:rFonts w:ascii="Tahoma" w:hAnsi="Tahoma" w:cs="Tahoma"/>
          <w:bCs/>
          <w:color w:val="666666"/>
          <w:sz w:val="20"/>
          <w:szCs w:val="20"/>
        </w:rPr>
        <w:t>0</w:t>
      </w:r>
      <w:r w:rsidR="00ED3825" w:rsidRPr="002A3B6C">
        <w:rPr>
          <w:rFonts w:ascii="Tahoma" w:hAnsi="Tahoma" w:cs="Tahoma"/>
          <w:bCs/>
          <w:color w:val="666666"/>
          <w:sz w:val="20"/>
          <w:szCs w:val="20"/>
        </w:rPr>
        <w:t>% за</w:t>
      </w:r>
      <w:r w:rsidR="00B14478" w:rsidRPr="002A3B6C">
        <w:rPr>
          <w:rFonts w:ascii="Tahoma" w:hAnsi="Tahoma" w:cs="Tahoma"/>
          <w:bCs/>
          <w:color w:val="666666"/>
          <w:sz w:val="20"/>
          <w:szCs w:val="20"/>
        </w:rPr>
        <w:t xml:space="preserve"> </w:t>
      </w:r>
      <w:r w:rsidR="000F29BA" w:rsidRPr="002A3B6C">
        <w:rPr>
          <w:rFonts w:ascii="Tahoma" w:hAnsi="Tahoma" w:cs="Tahoma"/>
          <w:bCs/>
          <w:color w:val="666666"/>
          <w:sz w:val="20"/>
          <w:szCs w:val="20"/>
        </w:rPr>
        <w:t xml:space="preserve">1 </w:t>
      </w:r>
      <w:r w:rsidR="00F43E89" w:rsidRPr="002A3B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полугодие </w:t>
      </w:r>
      <w:r w:rsidR="000F29BA" w:rsidRPr="002A3B6C">
        <w:rPr>
          <w:rFonts w:ascii="Tahoma" w:hAnsi="Tahoma" w:cs="Tahoma"/>
          <w:bCs/>
          <w:color w:val="666666"/>
          <w:sz w:val="20"/>
          <w:szCs w:val="20"/>
        </w:rPr>
        <w:t>2014</w:t>
      </w:r>
      <w:r w:rsidR="00B14478" w:rsidRPr="002A3B6C">
        <w:rPr>
          <w:rFonts w:ascii="Tahoma" w:hAnsi="Tahoma" w:cs="Tahoma"/>
          <w:bCs/>
          <w:color w:val="666666"/>
          <w:sz w:val="20"/>
          <w:szCs w:val="20"/>
        </w:rPr>
        <w:t xml:space="preserve"> </w:t>
      </w:r>
      <w:r w:rsidR="00ED3825" w:rsidRPr="002A3B6C">
        <w:rPr>
          <w:rFonts w:ascii="Tahoma" w:hAnsi="Tahoma" w:cs="Tahoma"/>
          <w:bCs/>
          <w:color w:val="666666"/>
          <w:sz w:val="20"/>
          <w:szCs w:val="20"/>
        </w:rPr>
        <w:t>год</w:t>
      </w:r>
      <w:r w:rsidR="00B14478" w:rsidRPr="002A3B6C">
        <w:rPr>
          <w:rFonts w:ascii="Tahoma" w:hAnsi="Tahoma" w:cs="Tahoma"/>
          <w:bCs/>
          <w:color w:val="666666"/>
          <w:sz w:val="20"/>
          <w:szCs w:val="20"/>
        </w:rPr>
        <w:t>а</w:t>
      </w:r>
      <w:r w:rsidR="00B35B57" w:rsidRPr="002A3B6C">
        <w:rPr>
          <w:rFonts w:ascii="Tahoma" w:hAnsi="Tahoma" w:cs="Tahoma"/>
          <w:color w:val="666666"/>
          <w:sz w:val="20"/>
          <w:szCs w:val="20"/>
        </w:rPr>
        <w:t>.</w:t>
      </w:r>
    </w:p>
    <w:p w:rsidR="009F2AFC" w:rsidRPr="008C4638" w:rsidRDefault="00D447A7" w:rsidP="008C46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8C4638">
        <w:rPr>
          <w:rStyle w:val="a4"/>
          <w:rFonts w:ascii="Tahoma" w:hAnsi="Tahoma" w:cs="Tahoma"/>
          <w:color w:val="666666"/>
          <w:sz w:val="20"/>
          <w:szCs w:val="20"/>
        </w:rPr>
        <w:t xml:space="preserve">Чистые расходы </w:t>
      </w:r>
      <w:r w:rsidR="00FA7ABC" w:rsidRPr="008C4638">
        <w:rPr>
          <w:rStyle w:val="a4"/>
          <w:rFonts w:ascii="Tahoma" w:hAnsi="Tahoma" w:cs="Tahoma"/>
          <w:color w:val="666666"/>
          <w:sz w:val="20"/>
          <w:szCs w:val="20"/>
        </w:rPr>
        <w:t>по</w:t>
      </w:r>
      <w:r w:rsidRPr="008C4638">
        <w:rPr>
          <w:rStyle w:val="a4"/>
          <w:rFonts w:ascii="Tahoma" w:hAnsi="Tahoma" w:cs="Tahoma"/>
          <w:color w:val="666666"/>
          <w:sz w:val="20"/>
          <w:szCs w:val="20"/>
        </w:rPr>
        <w:t xml:space="preserve"> создани</w:t>
      </w:r>
      <w:r w:rsidR="00FA7ABC" w:rsidRPr="008C4638">
        <w:rPr>
          <w:rStyle w:val="a4"/>
          <w:rFonts w:ascii="Tahoma" w:hAnsi="Tahoma" w:cs="Tahoma"/>
          <w:color w:val="666666"/>
          <w:sz w:val="20"/>
          <w:szCs w:val="20"/>
        </w:rPr>
        <w:t>ю</w:t>
      </w:r>
      <w:r w:rsidRPr="008C4638">
        <w:rPr>
          <w:rStyle w:val="a4"/>
          <w:rFonts w:ascii="Tahoma" w:hAnsi="Tahoma" w:cs="Tahoma"/>
          <w:color w:val="666666"/>
          <w:sz w:val="20"/>
          <w:szCs w:val="20"/>
        </w:rPr>
        <w:t xml:space="preserve"> резерв</w:t>
      </w:r>
      <w:r w:rsidR="00474E4C" w:rsidRPr="008C4638">
        <w:rPr>
          <w:rStyle w:val="a4"/>
          <w:rFonts w:ascii="Tahoma" w:hAnsi="Tahoma" w:cs="Tahoma"/>
          <w:color w:val="666666"/>
          <w:sz w:val="20"/>
          <w:szCs w:val="20"/>
        </w:rPr>
        <w:t>а</w:t>
      </w:r>
      <w:r w:rsidRPr="008C4638">
        <w:rPr>
          <w:rStyle w:val="a4"/>
          <w:rFonts w:ascii="Tahoma" w:hAnsi="Tahoma" w:cs="Tahoma"/>
          <w:color w:val="666666"/>
          <w:sz w:val="20"/>
          <w:szCs w:val="20"/>
        </w:rPr>
        <w:t xml:space="preserve"> под обесценение кредитного портфеля </w:t>
      </w:r>
      <w:r w:rsidRPr="008C4638">
        <w:rPr>
          <w:rFonts w:ascii="Tahoma" w:hAnsi="Tahoma" w:cs="Tahoma"/>
          <w:color w:val="666666"/>
          <w:sz w:val="20"/>
          <w:szCs w:val="20"/>
        </w:rPr>
        <w:t xml:space="preserve">за </w:t>
      </w:r>
      <w:r w:rsidR="007947B4" w:rsidRPr="008C4638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B35B57" w:rsidRPr="008C4638">
        <w:rPr>
          <w:rFonts w:ascii="Tahoma" w:hAnsi="Tahoma" w:cs="Tahoma"/>
          <w:color w:val="666666"/>
          <w:sz w:val="20"/>
          <w:szCs w:val="20"/>
        </w:rPr>
        <w:t>полугодие</w:t>
      </w:r>
      <w:r w:rsidR="007947B4" w:rsidRPr="008C4638">
        <w:rPr>
          <w:rFonts w:ascii="Tahoma" w:hAnsi="Tahoma" w:cs="Tahoma"/>
          <w:color w:val="666666"/>
          <w:sz w:val="20"/>
          <w:szCs w:val="20"/>
        </w:rPr>
        <w:t xml:space="preserve"> 2015</w:t>
      </w:r>
      <w:r w:rsidR="005D0A26" w:rsidRPr="008C4638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8C4638">
        <w:rPr>
          <w:rFonts w:ascii="Tahoma" w:hAnsi="Tahoma" w:cs="Tahoma"/>
          <w:color w:val="666666"/>
          <w:sz w:val="20"/>
          <w:szCs w:val="20"/>
        </w:rPr>
        <w:t>год</w:t>
      </w:r>
      <w:r w:rsidR="005D0A26" w:rsidRPr="008C4638">
        <w:rPr>
          <w:rFonts w:ascii="Tahoma" w:hAnsi="Tahoma" w:cs="Tahoma"/>
          <w:color w:val="666666"/>
          <w:sz w:val="20"/>
          <w:szCs w:val="20"/>
        </w:rPr>
        <w:t>а</w:t>
      </w:r>
      <w:r w:rsidRPr="008C4638">
        <w:rPr>
          <w:rFonts w:ascii="Tahoma" w:hAnsi="Tahoma" w:cs="Tahoma"/>
          <w:color w:val="666666"/>
          <w:sz w:val="20"/>
          <w:szCs w:val="20"/>
        </w:rPr>
        <w:t xml:space="preserve"> составили </w:t>
      </w:r>
      <w:r w:rsidR="00B35B57" w:rsidRPr="008C4638">
        <w:rPr>
          <w:rFonts w:ascii="Tahoma" w:hAnsi="Tahoma" w:cs="Tahoma"/>
          <w:b/>
          <w:color w:val="666666"/>
          <w:sz w:val="20"/>
          <w:szCs w:val="20"/>
        </w:rPr>
        <w:t>232</w:t>
      </w:r>
      <w:r w:rsidRPr="008C4638">
        <w:rPr>
          <w:rFonts w:ascii="Tahoma" w:hAnsi="Tahoma" w:cs="Tahoma"/>
          <w:b/>
          <w:color w:val="666666"/>
          <w:sz w:val="20"/>
          <w:szCs w:val="20"/>
        </w:rPr>
        <w:t>,</w:t>
      </w:r>
      <w:r w:rsidR="00B35B57" w:rsidRPr="008C4638">
        <w:rPr>
          <w:rFonts w:ascii="Tahoma" w:hAnsi="Tahoma" w:cs="Tahoma"/>
          <w:b/>
          <w:color w:val="666666"/>
          <w:sz w:val="20"/>
          <w:szCs w:val="20"/>
        </w:rPr>
        <w:t>4</w:t>
      </w:r>
      <w:r w:rsidR="000C54D5" w:rsidRPr="008C4638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8C4638">
        <w:rPr>
          <w:rFonts w:ascii="Tahoma" w:hAnsi="Tahoma" w:cs="Tahoma"/>
          <w:color w:val="666666"/>
          <w:sz w:val="20"/>
          <w:szCs w:val="20"/>
        </w:rPr>
        <w:t xml:space="preserve">млрд. руб., что соответствует </w:t>
      </w:r>
      <w:r w:rsidR="00D81E3B" w:rsidRPr="008C4638">
        <w:rPr>
          <w:rFonts w:ascii="Tahoma" w:hAnsi="Tahoma" w:cs="Tahoma"/>
          <w:color w:val="666666"/>
          <w:sz w:val="20"/>
          <w:szCs w:val="20"/>
        </w:rPr>
        <w:t>стоимости кредитного риска</w:t>
      </w:r>
      <w:r w:rsidRPr="008C4638">
        <w:rPr>
          <w:rFonts w:ascii="Tahoma" w:hAnsi="Tahoma" w:cs="Tahoma"/>
          <w:color w:val="666666"/>
          <w:sz w:val="20"/>
          <w:szCs w:val="20"/>
        </w:rPr>
        <w:t xml:space="preserve"> в размере </w:t>
      </w:r>
      <w:r w:rsidR="005D0A26" w:rsidRPr="008C4638">
        <w:rPr>
          <w:rFonts w:ascii="Tahoma" w:hAnsi="Tahoma" w:cs="Tahoma"/>
          <w:color w:val="666666"/>
          <w:sz w:val="20"/>
          <w:szCs w:val="20"/>
        </w:rPr>
        <w:t>2</w:t>
      </w:r>
      <w:r w:rsidR="00BD6E8D" w:rsidRPr="008C4638">
        <w:rPr>
          <w:rFonts w:ascii="Tahoma" w:hAnsi="Tahoma" w:cs="Tahoma"/>
          <w:color w:val="666666"/>
          <w:sz w:val="20"/>
          <w:szCs w:val="20"/>
        </w:rPr>
        <w:t>50</w:t>
      </w:r>
      <w:r w:rsidR="005D0A26" w:rsidRPr="008C4638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A2EB9" w:rsidRPr="008C4638">
        <w:rPr>
          <w:rFonts w:ascii="Tahoma" w:hAnsi="Tahoma" w:cs="Tahoma"/>
          <w:color w:val="666666"/>
          <w:sz w:val="20"/>
          <w:szCs w:val="20"/>
        </w:rPr>
        <w:t>базисн</w:t>
      </w:r>
      <w:r w:rsidR="00823CE3" w:rsidRPr="008C4638">
        <w:rPr>
          <w:rFonts w:ascii="Tahoma" w:hAnsi="Tahoma" w:cs="Tahoma"/>
          <w:color w:val="666666"/>
          <w:sz w:val="20"/>
          <w:szCs w:val="20"/>
        </w:rPr>
        <w:t>ых</w:t>
      </w:r>
      <w:r w:rsidRPr="008C4638">
        <w:rPr>
          <w:rFonts w:ascii="Tahoma" w:hAnsi="Tahoma" w:cs="Tahoma"/>
          <w:color w:val="666666"/>
          <w:sz w:val="20"/>
          <w:szCs w:val="20"/>
        </w:rPr>
        <w:t xml:space="preserve"> пункт</w:t>
      </w:r>
      <w:r w:rsidR="00823CE3" w:rsidRPr="008C4638">
        <w:rPr>
          <w:rFonts w:ascii="Tahoma" w:hAnsi="Tahoma" w:cs="Tahoma"/>
          <w:color w:val="666666"/>
          <w:sz w:val="20"/>
          <w:szCs w:val="20"/>
        </w:rPr>
        <w:t>ов</w:t>
      </w:r>
      <w:r w:rsidR="009F2AFC" w:rsidRPr="008C4638">
        <w:rPr>
          <w:rFonts w:ascii="Tahoma" w:hAnsi="Tahoma" w:cs="Tahoma"/>
          <w:color w:val="666666"/>
          <w:sz w:val="20"/>
          <w:szCs w:val="20"/>
        </w:rPr>
        <w:t>.</w:t>
      </w:r>
    </w:p>
    <w:p w:rsidR="007D1524" w:rsidRPr="002C52DA" w:rsidRDefault="007D1524" w:rsidP="007D1524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2C52DA">
        <w:rPr>
          <w:rStyle w:val="a4"/>
          <w:rFonts w:ascii="Tahoma" w:hAnsi="Tahoma" w:cs="Tahoma"/>
          <w:color w:val="666666"/>
          <w:sz w:val="20"/>
          <w:szCs w:val="20"/>
        </w:rPr>
        <w:t>Основные показатели отчета о финансовом положении:</w:t>
      </w:r>
    </w:p>
    <w:p w:rsidR="007D1524" w:rsidRPr="002C52DA" w:rsidRDefault="00857AAF" w:rsidP="007D15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b/>
        </w:rPr>
      </w:pPr>
      <w:r w:rsidRPr="002C52DA">
        <w:rPr>
          <w:rFonts w:ascii="Tahoma" w:hAnsi="Tahoma" w:cs="Tahoma"/>
          <w:b/>
          <w:color w:val="666666"/>
          <w:sz w:val="20"/>
          <w:szCs w:val="20"/>
        </w:rPr>
        <w:t>Общий объем активов</w:t>
      </w:r>
      <w:r w:rsidR="007D1524" w:rsidRPr="002C52DA">
        <w:rPr>
          <w:rFonts w:ascii="Tahoma" w:hAnsi="Tahoma" w:cs="Tahoma"/>
          <w:b/>
          <w:color w:val="666666"/>
          <w:sz w:val="20"/>
          <w:szCs w:val="20"/>
        </w:rPr>
        <w:t xml:space="preserve"> Группы</w:t>
      </w:r>
      <w:r w:rsidR="007D1524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623B3" w:rsidRPr="002C52DA">
        <w:rPr>
          <w:rFonts w:ascii="Tahoma" w:hAnsi="Tahoma" w:cs="Tahoma"/>
          <w:color w:val="666666"/>
          <w:sz w:val="20"/>
          <w:szCs w:val="20"/>
        </w:rPr>
        <w:t xml:space="preserve">по состоянию </w:t>
      </w:r>
      <w:r w:rsidR="007D1524" w:rsidRPr="002C52DA">
        <w:rPr>
          <w:rFonts w:ascii="Tahoma" w:hAnsi="Tahoma" w:cs="Tahoma"/>
          <w:color w:val="666666"/>
          <w:sz w:val="20"/>
          <w:szCs w:val="20"/>
        </w:rPr>
        <w:t xml:space="preserve">на </w:t>
      </w:r>
      <w:r w:rsidR="00B35B57">
        <w:rPr>
          <w:rFonts w:ascii="Tahoma" w:hAnsi="Tahoma" w:cs="Tahoma"/>
          <w:color w:val="666666"/>
          <w:sz w:val="20"/>
          <w:szCs w:val="20"/>
        </w:rPr>
        <w:t>30 июня</w:t>
      </w:r>
      <w:r w:rsidR="0075402E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866CF" w:rsidRPr="002C52DA">
        <w:rPr>
          <w:rFonts w:ascii="Tahoma" w:hAnsi="Tahoma" w:cs="Tahoma"/>
          <w:color w:val="666666"/>
          <w:sz w:val="20"/>
          <w:szCs w:val="20"/>
        </w:rPr>
        <w:t>201</w:t>
      </w:r>
      <w:r w:rsidR="0094759D" w:rsidRPr="002C52DA">
        <w:rPr>
          <w:rFonts w:ascii="Tahoma" w:hAnsi="Tahoma" w:cs="Tahoma"/>
          <w:color w:val="666666"/>
          <w:sz w:val="20"/>
          <w:szCs w:val="20"/>
        </w:rPr>
        <w:t>5</w:t>
      </w:r>
      <w:r w:rsidR="006866CF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D1524" w:rsidRPr="002C52DA">
        <w:rPr>
          <w:rFonts w:ascii="Tahoma" w:hAnsi="Tahoma" w:cs="Tahoma"/>
          <w:color w:val="666666"/>
          <w:sz w:val="20"/>
          <w:szCs w:val="20"/>
        </w:rPr>
        <w:t xml:space="preserve">года </w:t>
      </w:r>
      <w:r w:rsidR="000623B3" w:rsidRPr="002C52DA">
        <w:rPr>
          <w:rFonts w:ascii="Tahoma" w:hAnsi="Tahoma" w:cs="Tahoma"/>
          <w:color w:val="666666"/>
          <w:sz w:val="20"/>
          <w:szCs w:val="20"/>
        </w:rPr>
        <w:t xml:space="preserve">составил </w:t>
      </w:r>
      <w:r w:rsidR="006F3C2E" w:rsidRPr="002C52DA">
        <w:rPr>
          <w:rFonts w:ascii="Tahoma" w:hAnsi="Tahoma" w:cs="Tahoma"/>
          <w:b/>
          <w:color w:val="666666"/>
          <w:sz w:val="20"/>
          <w:szCs w:val="20"/>
        </w:rPr>
        <w:t>2</w:t>
      </w:r>
      <w:r w:rsidR="00B35B57">
        <w:rPr>
          <w:rFonts w:ascii="Tahoma" w:hAnsi="Tahoma" w:cs="Tahoma"/>
          <w:b/>
          <w:color w:val="666666"/>
          <w:sz w:val="20"/>
          <w:szCs w:val="20"/>
        </w:rPr>
        <w:t>3</w:t>
      </w:r>
      <w:r w:rsidR="006866CF" w:rsidRPr="002C52DA">
        <w:rPr>
          <w:rFonts w:ascii="Tahoma" w:hAnsi="Tahoma" w:cs="Tahoma"/>
          <w:b/>
          <w:color w:val="666666"/>
          <w:sz w:val="20"/>
          <w:szCs w:val="20"/>
        </w:rPr>
        <w:t> </w:t>
      </w:r>
      <w:r w:rsidR="00B35B57">
        <w:rPr>
          <w:rFonts w:ascii="Tahoma" w:hAnsi="Tahoma" w:cs="Tahoma"/>
          <w:b/>
          <w:color w:val="666666"/>
          <w:sz w:val="20"/>
          <w:szCs w:val="20"/>
        </w:rPr>
        <w:t>657</w:t>
      </w:r>
      <w:r w:rsidR="000623B3" w:rsidRPr="002C52DA">
        <w:rPr>
          <w:rFonts w:ascii="Tahoma" w:hAnsi="Tahoma" w:cs="Tahoma"/>
          <w:b/>
          <w:color w:val="666666"/>
          <w:sz w:val="20"/>
          <w:szCs w:val="20"/>
        </w:rPr>
        <w:t>,</w:t>
      </w:r>
      <w:r w:rsidR="00B35B57">
        <w:rPr>
          <w:rFonts w:ascii="Tahoma" w:hAnsi="Tahoma" w:cs="Tahoma"/>
          <w:b/>
          <w:color w:val="666666"/>
          <w:sz w:val="20"/>
          <w:szCs w:val="20"/>
        </w:rPr>
        <w:t>0</w:t>
      </w:r>
      <w:r w:rsidR="0075402E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623B3" w:rsidRPr="002C52DA">
        <w:rPr>
          <w:rFonts w:ascii="Tahoma" w:hAnsi="Tahoma" w:cs="Tahoma"/>
          <w:color w:val="666666"/>
          <w:sz w:val="20"/>
          <w:szCs w:val="20"/>
        </w:rPr>
        <w:t xml:space="preserve">млрд. руб., </w:t>
      </w:r>
      <w:r w:rsidR="0094759D" w:rsidRPr="002C52DA">
        <w:rPr>
          <w:rFonts w:ascii="Tahoma" w:hAnsi="Tahoma" w:cs="Tahoma"/>
          <w:color w:val="666666"/>
          <w:sz w:val="20"/>
          <w:szCs w:val="20"/>
        </w:rPr>
        <w:t>сократившись</w:t>
      </w:r>
      <w:r w:rsidR="000623B3" w:rsidRPr="002C52DA">
        <w:rPr>
          <w:rFonts w:ascii="Tahoma" w:hAnsi="Tahoma" w:cs="Tahoma"/>
          <w:color w:val="666666"/>
          <w:sz w:val="20"/>
          <w:szCs w:val="20"/>
        </w:rPr>
        <w:t xml:space="preserve"> на </w:t>
      </w:r>
      <w:r w:rsidR="00B35B57">
        <w:rPr>
          <w:rFonts w:ascii="Tahoma" w:hAnsi="Tahoma" w:cs="Tahoma"/>
          <w:color w:val="666666"/>
          <w:sz w:val="20"/>
          <w:szCs w:val="20"/>
        </w:rPr>
        <w:t>6</w:t>
      </w:r>
      <w:r w:rsidR="000623B3" w:rsidRPr="002C52DA">
        <w:rPr>
          <w:rFonts w:ascii="Tahoma" w:hAnsi="Tahoma" w:cs="Tahoma"/>
          <w:color w:val="666666"/>
          <w:sz w:val="20"/>
          <w:szCs w:val="20"/>
        </w:rPr>
        <w:t>,</w:t>
      </w:r>
      <w:r w:rsidR="00B35B57">
        <w:rPr>
          <w:rFonts w:ascii="Tahoma" w:hAnsi="Tahoma" w:cs="Tahoma"/>
          <w:color w:val="666666"/>
          <w:sz w:val="20"/>
          <w:szCs w:val="20"/>
        </w:rPr>
        <w:t>1</w:t>
      </w:r>
      <w:r w:rsidR="000623B3" w:rsidRPr="002C52DA">
        <w:rPr>
          <w:rFonts w:ascii="Tahoma" w:hAnsi="Tahoma" w:cs="Tahoma"/>
          <w:color w:val="666666"/>
          <w:sz w:val="20"/>
          <w:szCs w:val="20"/>
        </w:rPr>
        <w:t>%</w:t>
      </w:r>
      <w:r w:rsidR="00482960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623B3" w:rsidRPr="002C52DA">
        <w:rPr>
          <w:rFonts w:ascii="Tahoma" w:hAnsi="Tahoma" w:cs="Tahoma"/>
          <w:color w:val="666666"/>
          <w:sz w:val="20"/>
          <w:szCs w:val="20"/>
        </w:rPr>
        <w:t xml:space="preserve">по сравнению с </w:t>
      </w:r>
      <w:r w:rsidR="00B35B57">
        <w:rPr>
          <w:rFonts w:ascii="Tahoma" w:hAnsi="Tahoma" w:cs="Tahoma"/>
          <w:color w:val="666666"/>
          <w:sz w:val="20"/>
          <w:szCs w:val="20"/>
        </w:rPr>
        <w:t xml:space="preserve">данными </w:t>
      </w:r>
      <w:proofErr w:type="gramStart"/>
      <w:r w:rsidR="00B35B57">
        <w:rPr>
          <w:rFonts w:ascii="Tahoma" w:hAnsi="Tahoma" w:cs="Tahoma"/>
          <w:color w:val="666666"/>
          <w:sz w:val="20"/>
          <w:szCs w:val="20"/>
        </w:rPr>
        <w:t>на</w:t>
      </w:r>
      <w:r w:rsidR="00523BA4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82960" w:rsidRPr="002C52DA">
        <w:rPr>
          <w:rFonts w:ascii="Tahoma" w:hAnsi="Tahoma" w:cs="Tahoma"/>
          <w:color w:val="666666"/>
          <w:sz w:val="20"/>
          <w:szCs w:val="20"/>
        </w:rPr>
        <w:t>конец</w:t>
      </w:r>
      <w:proofErr w:type="gramEnd"/>
      <w:r w:rsidR="00482960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4759D" w:rsidRPr="002C52DA">
        <w:rPr>
          <w:rFonts w:ascii="Tahoma" w:hAnsi="Tahoma" w:cs="Tahoma"/>
          <w:color w:val="666666"/>
          <w:sz w:val="20"/>
          <w:szCs w:val="20"/>
        </w:rPr>
        <w:t>2014</w:t>
      </w:r>
      <w:r w:rsidR="006866CF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D1524" w:rsidRPr="002C52DA">
        <w:rPr>
          <w:rFonts w:ascii="Tahoma" w:hAnsi="Tahoma" w:cs="Tahoma"/>
          <w:color w:val="666666"/>
          <w:sz w:val="20"/>
          <w:szCs w:val="20"/>
        </w:rPr>
        <w:t>год</w:t>
      </w:r>
      <w:r w:rsidR="00482960" w:rsidRPr="002C52DA">
        <w:rPr>
          <w:rFonts w:ascii="Tahoma" w:hAnsi="Tahoma" w:cs="Tahoma"/>
          <w:color w:val="666666"/>
          <w:sz w:val="20"/>
          <w:szCs w:val="20"/>
        </w:rPr>
        <w:t>а</w:t>
      </w:r>
      <w:r w:rsidR="000623B3" w:rsidRPr="002C52DA">
        <w:rPr>
          <w:rFonts w:ascii="Tahoma" w:hAnsi="Tahoma" w:cs="Tahoma"/>
          <w:color w:val="666666"/>
          <w:sz w:val="20"/>
          <w:szCs w:val="20"/>
        </w:rPr>
        <w:t>.</w:t>
      </w:r>
      <w:r w:rsidR="007D1524" w:rsidRPr="002C52DA">
        <w:rPr>
          <w:bCs/>
        </w:rPr>
        <w:t xml:space="preserve"> </w:t>
      </w:r>
    </w:p>
    <w:p w:rsidR="00357A61" w:rsidRPr="002C52DA" w:rsidRDefault="00357A61" w:rsidP="007D15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2C52DA">
        <w:rPr>
          <w:rFonts w:ascii="Tahoma" w:hAnsi="Tahoma" w:cs="Tahoma"/>
          <w:color w:val="666666"/>
          <w:sz w:val="20"/>
          <w:szCs w:val="20"/>
        </w:rPr>
        <w:t xml:space="preserve">За </w:t>
      </w:r>
      <w:r w:rsidR="007947B4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52294A">
        <w:rPr>
          <w:rFonts w:ascii="Tahoma" w:hAnsi="Tahoma" w:cs="Tahoma"/>
          <w:color w:val="666666"/>
          <w:sz w:val="20"/>
          <w:szCs w:val="20"/>
        </w:rPr>
        <w:t>полугодие</w:t>
      </w:r>
      <w:r w:rsidR="007947B4">
        <w:rPr>
          <w:rFonts w:ascii="Tahoma" w:hAnsi="Tahoma" w:cs="Tahoma"/>
          <w:color w:val="666666"/>
          <w:sz w:val="20"/>
          <w:szCs w:val="20"/>
        </w:rPr>
        <w:t xml:space="preserve"> 2015</w:t>
      </w:r>
      <w:r w:rsidR="006866CF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C52DA">
        <w:rPr>
          <w:rFonts w:ascii="Tahoma" w:hAnsi="Tahoma" w:cs="Tahoma"/>
          <w:color w:val="666666"/>
          <w:sz w:val="20"/>
          <w:szCs w:val="20"/>
        </w:rPr>
        <w:t>год</w:t>
      </w:r>
      <w:r w:rsidR="006866CF" w:rsidRPr="002C52DA">
        <w:rPr>
          <w:rFonts w:ascii="Tahoma" w:hAnsi="Tahoma" w:cs="Tahoma"/>
          <w:color w:val="666666"/>
          <w:sz w:val="20"/>
          <w:szCs w:val="20"/>
        </w:rPr>
        <w:t>а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C52DA">
        <w:rPr>
          <w:rFonts w:ascii="Tahoma" w:hAnsi="Tahoma" w:cs="Tahoma"/>
          <w:b/>
          <w:color w:val="666666"/>
          <w:sz w:val="20"/>
          <w:szCs w:val="20"/>
        </w:rPr>
        <w:t>кредиты и авансы клиентам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5276C" w:rsidRPr="002C52DA">
        <w:rPr>
          <w:rFonts w:ascii="Tahoma" w:hAnsi="Tahoma" w:cs="Tahoma"/>
          <w:b/>
          <w:color w:val="666666"/>
          <w:sz w:val="20"/>
          <w:szCs w:val="20"/>
        </w:rPr>
        <w:t>(нетто)</w:t>
      </w:r>
      <w:r w:rsidR="0075276C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2E5C41" w:rsidRPr="002C52DA">
        <w:rPr>
          <w:rFonts w:ascii="Tahoma" w:hAnsi="Tahoma" w:cs="Tahoma"/>
          <w:color w:val="666666"/>
          <w:sz w:val="20"/>
          <w:szCs w:val="20"/>
        </w:rPr>
        <w:t>сократились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 на </w:t>
      </w:r>
      <w:r w:rsidR="0052294A">
        <w:rPr>
          <w:rFonts w:ascii="Tahoma" w:hAnsi="Tahoma" w:cs="Tahoma"/>
          <w:color w:val="666666"/>
          <w:sz w:val="20"/>
          <w:szCs w:val="20"/>
        </w:rPr>
        <w:t>5</w:t>
      </w:r>
      <w:r w:rsidRPr="002C52DA">
        <w:rPr>
          <w:rFonts w:ascii="Tahoma" w:hAnsi="Tahoma" w:cs="Tahoma"/>
          <w:color w:val="666666"/>
          <w:sz w:val="20"/>
          <w:szCs w:val="20"/>
        </w:rPr>
        <w:t>,</w:t>
      </w:r>
      <w:r w:rsidR="0052294A">
        <w:rPr>
          <w:rFonts w:ascii="Tahoma" w:hAnsi="Tahoma" w:cs="Tahoma"/>
          <w:color w:val="666666"/>
          <w:sz w:val="20"/>
          <w:szCs w:val="20"/>
        </w:rPr>
        <w:t>6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%, составив </w:t>
      </w:r>
      <w:r w:rsidR="006F3C2E" w:rsidRPr="002C52DA">
        <w:rPr>
          <w:rFonts w:ascii="Tahoma" w:hAnsi="Tahoma" w:cs="Tahoma"/>
          <w:b/>
          <w:color w:val="666666"/>
          <w:sz w:val="20"/>
          <w:szCs w:val="20"/>
        </w:rPr>
        <w:t>1</w:t>
      </w:r>
      <w:r w:rsidR="0052294A">
        <w:rPr>
          <w:rFonts w:ascii="Tahoma" w:hAnsi="Tahoma" w:cs="Tahoma"/>
          <w:b/>
          <w:color w:val="666666"/>
          <w:sz w:val="20"/>
          <w:szCs w:val="20"/>
        </w:rPr>
        <w:t>6</w:t>
      </w:r>
      <w:r w:rsidR="006F3C2E" w:rsidRPr="002C52DA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 w:rsidR="0052294A">
        <w:rPr>
          <w:rFonts w:ascii="Tahoma" w:hAnsi="Tahoma" w:cs="Tahoma"/>
          <w:b/>
          <w:color w:val="666666"/>
          <w:sz w:val="20"/>
          <w:szCs w:val="20"/>
        </w:rPr>
        <w:t>755</w:t>
      </w:r>
      <w:r w:rsidRPr="002C52DA">
        <w:rPr>
          <w:rFonts w:ascii="Tahoma" w:hAnsi="Tahoma" w:cs="Tahoma"/>
          <w:b/>
          <w:color w:val="666666"/>
          <w:sz w:val="20"/>
          <w:szCs w:val="20"/>
        </w:rPr>
        <w:t>,</w:t>
      </w:r>
      <w:r w:rsidR="0052294A">
        <w:rPr>
          <w:rFonts w:ascii="Tahoma" w:hAnsi="Tahoma" w:cs="Tahoma"/>
          <w:b/>
          <w:color w:val="666666"/>
          <w:sz w:val="20"/>
          <w:szCs w:val="20"/>
        </w:rPr>
        <w:t>9</w:t>
      </w:r>
      <w:r w:rsidR="006866CF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млрд. руб., по сравнению с </w:t>
      </w:r>
      <w:r w:rsidR="006866CF" w:rsidRPr="002C52DA">
        <w:rPr>
          <w:rFonts w:ascii="Tahoma" w:hAnsi="Tahoma" w:cs="Tahoma"/>
          <w:color w:val="666666"/>
          <w:sz w:val="20"/>
          <w:szCs w:val="20"/>
        </w:rPr>
        <w:t>1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7</w:t>
      </w:r>
      <w:r w:rsidR="006866CF" w:rsidRPr="002C52DA">
        <w:rPr>
          <w:rFonts w:ascii="Tahoma" w:hAnsi="Tahoma" w:cs="Tahoma"/>
          <w:color w:val="666666"/>
          <w:sz w:val="20"/>
          <w:szCs w:val="20"/>
        </w:rPr>
        <w:t> 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756</w:t>
      </w:r>
      <w:r w:rsidR="006866CF" w:rsidRPr="002C52DA">
        <w:rPr>
          <w:rFonts w:ascii="Tahoma" w:hAnsi="Tahoma" w:cs="Tahoma"/>
          <w:color w:val="666666"/>
          <w:sz w:val="20"/>
          <w:szCs w:val="20"/>
        </w:rPr>
        <w:t>,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6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 млрд. руб. </w:t>
      </w:r>
      <w:proofErr w:type="gramStart"/>
      <w:r w:rsidRPr="002C52DA">
        <w:rPr>
          <w:rFonts w:ascii="Tahoma" w:hAnsi="Tahoma" w:cs="Tahoma"/>
          <w:color w:val="666666"/>
          <w:sz w:val="20"/>
          <w:szCs w:val="20"/>
        </w:rPr>
        <w:t>на конец</w:t>
      </w:r>
      <w:proofErr w:type="gramEnd"/>
      <w:r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2014</w:t>
      </w:r>
      <w:r w:rsidR="006866CF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года. </w:t>
      </w:r>
    </w:p>
    <w:p w:rsidR="007D1524" w:rsidRPr="002C52DA" w:rsidRDefault="003958C8" w:rsidP="007D15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3958C8">
        <w:rPr>
          <w:rFonts w:ascii="Tahoma" w:hAnsi="Tahoma" w:cs="Tahoma"/>
          <w:b/>
          <w:color w:val="666666"/>
          <w:sz w:val="20"/>
          <w:szCs w:val="20"/>
        </w:rPr>
        <w:t>Д</w:t>
      </w:r>
      <w:r w:rsidR="0066519B" w:rsidRPr="002C52DA">
        <w:rPr>
          <w:rFonts w:ascii="Tahoma" w:hAnsi="Tahoma" w:cs="Tahoma"/>
          <w:b/>
          <w:color w:val="666666"/>
          <w:sz w:val="20"/>
          <w:szCs w:val="20"/>
        </w:rPr>
        <w:t>оля</w:t>
      </w:r>
      <w:r w:rsidR="002039AB" w:rsidRPr="002C52DA">
        <w:rPr>
          <w:rFonts w:ascii="Tahoma" w:hAnsi="Tahoma" w:cs="Tahoma"/>
          <w:b/>
          <w:color w:val="666666"/>
          <w:sz w:val="20"/>
          <w:szCs w:val="20"/>
        </w:rPr>
        <w:t xml:space="preserve"> неработающих кредитов</w:t>
      </w:r>
      <w:r w:rsidR="0066519B" w:rsidRPr="002C52DA">
        <w:rPr>
          <w:rFonts w:ascii="Tahoma" w:hAnsi="Tahoma" w:cs="Tahoma"/>
          <w:b/>
          <w:color w:val="666666"/>
          <w:sz w:val="20"/>
          <w:szCs w:val="20"/>
        </w:rPr>
        <w:t xml:space="preserve"> в портфеле</w:t>
      </w:r>
      <w:r w:rsidR="002039AB" w:rsidRPr="002C52DA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 w:rsidR="0066519B" w:rsidRPr="002C52DA">
        <w:rPr>
          <w:rFonts w:ascii="Tahoma" w:hAnsi="Tahoma" w:cs="Tahoma"/>
          <w:b/>
          <w:color w:val="666666"/>
          <w:sz w:val="20"/>
          <w:szCs w:val="20"/>
        </w:rPr>
        <w:t xml:space="preserve">Группы </w:t>
      </w:r>
      <w:r>
        <w:rPr>
          <w:rFonts w:ascii="Tahoma" w:hAnsi="Tahoma" w:cs="Tahoma"/>
          <w:b/>
          <w:color w:val="666666"/>
          <w:sz w:val="20"/>
          <w:szCs w:val="20"/>
        </w:rPr>
        <w:t xml:space="preserve">до вычета резерва </w:t>
      </w:r>
      <w:r w:rsidR="002039AB" w:rsidRPr="002C52DA">
        <w:rPr>
          <w:rFonts w:ascii="Tahoma" w:hAnsi="Tahoma" w:cs="Tahoma"/>
          <w:b/>
          <w:color w:val="666666"/>
          <w:sz w:val="20"/>
          <w:szCs w:val="20"/>
        </w:rPr>
        <w:t>(</w:t>
      </w:r>
      <w:r w:rsidR="002039AB" w:rsidRPr="002C52DA">
        <w:rPr>
          <w:rFonts w:ascii="Tahoma" w:hAnsi="Tahoma" w:cs="Tahoma"/>
          <w:b/>
          <w:color w:val="666666"/>
          <w:sz w:val="20"/>
          <w:szCs w:val="20"/>
          <w:lang w:val="en-US"/>
        </w:rPr>
        <w:t>NPL</w:t>
      </w:r>
      <w:r w:rsidR="002039AB" w:rsidRPr="002C52DA">
        <w:rPr>
          <w:rFonts w:ascii="Tahoma" w:hAnsi="Tahoma" w:cs="Tahoma"/>
          <w:b/>
          <w:color w:val="666666"/>
          <w:sz w:val="20"/>
          <w:szCs w:val="20"/>
        </w:rPr>
        <w:t>)</w:t>
      </w:r>
      <w:r w:rsidR="0066519B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E454B2" w:rsidRPr="002C52DA">
        <w:rPr>
          <w:rFonts w:ascii="Tahoma" w:hAnsi="Tahoma" w:cs="Tahoma"/>
          <w:color w:val="666666"/>
          <w:sz w:val="20"/>
          <w:szCs w:val="20"/>
        </w:rPr>
        <w:t xml:space="preserve">выросла </w:t>
      </w:r>
      <w:r w:rsidR="00482960" w:rsidRPr="002C52DA">
        <w:rPr>
          <w:rFonts w:ascii="Tahoma" w:hAnsi="Tahoma" w:cs="Tahoma"/>
          <w:color w:val="666666"/>
          <w:sz w:val="20"/>
          <w:szCs w:val="20"/>
        </w:rPr>
        <w:t>до</w:t>
      </w:r>
      <w:r w:rsidR="0066519B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52294A">
        <w:rPr>
          <w:rFonts w:ascii="Tahoma" w:hAnsi="Tahoma" w:cs="Tahoma"/>
          <w:b/>
          <w:color w:val="666666"/>
          <w:sz w:val="20"/>
          <w:szCs w:val="20"/>
        </w:rPr>
        <w:t>4</w:t>
      </w:r>
      <w:r w:rsidR="0066519B" w:rsidRPr="002C52DA">
        <w:rPr>
          <w:rFonts w:ascii="Tahoma" w:hAnsi="Tahoma" w:cs="Tahoma"/>
          <w:b/>
          <w:color w:val="666666"/>
          <w:sz w:val="20"/>
          <w:szCs w:val="20"/>
        </w:rPr>
        <w:t>,</w:t>
      </w:r>
      <w:r w:rsidR="00023C53" w:rsidRPr="002C52DA">
        <w:rPr>
          <w:rFonts w:ascii="Tahoma" w:hAnsi="Tahoma" w:cs="Tahoma"/>
          <w:b/>
          <w:color w:val="666666"/>
          <w:sz w:val="20"/>
          <w:szCs w:val="20"/>
        </w:rPr>
        <w:t>9</w:t>
      </w:r>
      <w:r w:rsidR="0066519B" w:rsidRPr="002C52DA">
        <w:rPr>
          <w:rFonts w:ascii="Tahoma" w:hAnsi="Tahoma" w:cs="Tahoma"/>
          <w:b/>
          <w:color w:val="666666"/>
          <w:sz w:val="20"/>
          <w:szCs w:val="20"/>
        </w:rPr>
        <w:t>%</w:t>
      </w:r>
      <w:r w:rsidR="00B4327A" w:rsidRPr="002C52DA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 w:rsidR="005C1AF2" w:rsidRPr="002C52DA">
        <w:rPr>
          <w:rFonts w:ascii="Tahoma" w:hAnsi="Tahoma" w:cs="Tahoma"/>
          <w:color w:val="666666"/>
          <w:sz w:val="20"/>
          <w:szCs w:val="20"/>
        </w:rPr>
        <w:t>по состоянию на 3</w:t>
      </w:r>
      <w:r w:rsidR="0052294A">
        <w:rPr>
          <w:rFonts w:ascii="Tahoma" w:hAnsi="Tahoma" w:cs="Tahoma"/>
          <w:color w:val="666666"/>
          <w:sz w:val="20"/>
          <w:szCs w:val="20"/>
        </w:rPr>
        <w:t>0 июня</w:t>
      </w:r>
      <w:r w:rsidR="005C1AF2" w:rsidRPr="002C52DA">
        <w:rPr>
          <w:rFonts w:ascii="Tahoma" w:hAnsi="Tahoma" w:cs="Tahoma"/>
          <w:color w:val="666666"/>
          <w:sz w:val="20"/>
          <w:szCs w:val="20"/>
        </w:rPr>
        <w:t xml:space="preserve"> 201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5</w:t>
      </w:r>
      <w:r w:rsidR="00523BA4">
        <w:rPr>
          <w:rFonts w:ascii="Tahoma" w:hAnsi="Tahoma" w:cs="Tahoma"/>
          <w:color w:val="666666"/>
          <w:sz w:val="20"/>
          <w:szCs w:val="20"/>
        </w:rPr>
        <w:t xml:space="preserve"> года</w:t>
      </w:r>
      <w:r w:rsidR="00482960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4327A" w:rsidRPr="002C52DA">
        <w:rPr>
          <w:rFonts w:ascii="Tahoma" w:hAnsi="Tahoma" w:cs="Tahoma"/>
          <w:color w:val="666666"/>
          <w:sz w:val="20"/>
          <w:szCs w:val="20"/>
        </w:rPr>
        <w:t xml:space="preserve">(31 декабря </w:t>
      </w:r>
      <w:r w:rsidR="00E454B2" w:rsidRPr="002C52DA">
        <w:rPr>
          <w:rFonts w:ascii="Tahoma" w:hAnsi="Tahoma" w:cs="Tahoma"/>
          <w:color w:val="666666"/>
          <w:sz w:val="20"/>
          <w:szCs w:val="20"/>
        </w:rPr>
        <w:t>201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4</w:t>
      </w:r>
      <w:r w:rsidR="00E454B2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4327A" w:rsidRPr="002C52DA">
        <w:rPr>
          <w:rFonts w:ascii="Tahoma" w:hAnsi="Tahoma" w:cs="Tahoma"/>
          <w:color w:val="666666"/>
          <w:sz w:val="20"/>
          <w:szCs w:val="20"/>
        </w:rPr>
        <w:t xml:space="preserve">года: 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3</w:t>
      </w:r>
      <w:r w:rsidR="00B4327A" w:rsidRPr="002C52DA">
        <w:rPr>
          <w:rFonts w:ascii="Tahoma" w:hAnsi="Tahoma" w:cs="Tahoma"/>
          <w:color w:val="666666"/>
          <w:sz w:val="20"/>
          <w:szCs w:val="20"/>
        </w:rPr>
        <w:t>,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2</w:t>
      </w:r>
      <w:r w:rsidR="00B4327A" w:rsidRPr="002C52DA">
        <w:rPr>
          <w:rFonts w:ascii="Tahoma" w:hAnsi="Tahoma" w:cs="Tahoma"/>
          <w:color w:val="666666"/>
          <w:sz w:val="20"/>
          <w:szCs w:val="20"/>
        </w:rPr>
        <w:t>%)</w:t>
      </w:r>
      <w:r w:rsidR="002039AB" w:rsidRPr="002C52DA">
        <w:rPr>
          <w:rFonts w:ascii="Tahoma" w:hAnsi="Tahoma" w:cs="Tahoma"/>
          <w:color w:val="666666"/>
          <w:sz w:val="20"/>
          <w:szCs w:val="20"/>
        </w:rPr>
        <w:t>.</w:t>
      </w:r>
    </w:p>
    <w:p w:rsidR="00C56E3A" w:rsidRPr="002C52DA" w:rsidRDefault="00C56E3A" w:rsidP="007D15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2C52DA">
        <w:rPr>
          <w:rFonts w:ascii="Tahoma" w:hAnsi="Tahoma" w:cs="Tahoma"/>
          <w:b/>
          <w:bCs/>
          <w:color w:val="666666"/>
          <w:sz w:val="20"/>
          <w:szCs w:val="20"/>
        </w:rPr>
        <w:t xml:space="preserve">Средства </w:t>
      </w:r>
      <w:r w:rsidR="00613419" w:rsidRPr="002C52DA">
        <w:rPr>
          <w:rFonts w:ascii="Tahoma" w:hAnsi="Tahoma" w:cs="Tahoma"/>
          <w:b/>
          <w:bCs/>
          <w:color w:val="666666"/>
          <w:sz w:val="20"/>
          <w:szCs w:val="20"/>
        </w:rPr>
        <w:t>клиентов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13419" w:rsidRPr="002C52DA">
        <w:rPr>
          <w:rFonts w:ascii="Tahoma" w:hAnsi="Tahoma" w:cs="Tahoma"/>
          <w:color w:val="666666"/>
          <w:sz w:val="20"/>
          <w:szCs w:val="20"/>
        </w:rPr>
        <w:t xml:space="preserve">увеличились на 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1</w:t>
      </w:r>
      <w:r w:rsidR="00613419" w:rsidRPr="002C52DA">
        <w:rPr>
          <w:rFonts w:ascii="Tahoma" w:hAnsi="Tahoma" w:cs="Tahoma"/>
          <w:color w:val="666666"/>
          <w:sz w:val="20"/>
          <w:szCs w:val="20"/>
        </w:rPr>
        <w:t>,</w:t>
      </w:r>
      <w:r w:rsidR="0052294A">
        <w:rPr>
          <w:rFonts w:ascii="Tahoma" w:hAnsi="Tahoma" w:cs="Tahoma"/>
          <w:color w:val="666666"/>
          <w:sz w:val="20"/>
          <w:szCs w:val="20"/>
        </w:rPr>
        <w:t>8</w:t>
      </w:r>
      <w:r w:rsidR="00613419" w:rsidRPr="002C52DA">
        <w:rPr>
          <w:rFonts w:ascii="Tahoma" w:hAnsi="Tahoma" w:cs="Tahoma"/>
          <w:color w:val="666666"/>
          <w:sz w:val="20"/>
          <w:szCs w:val="20"/>
        </w:rPr>
        <w:t>%, составив</w:t>
      </w:r>
      <w:r w:rsidR="006F3C2E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F3C2E" w:rsidRPr="002C52DA">
        <w:rPr>
          <w:rFonts w:ascii="Tahoma" w:hAnsi="Tahoma" w:cs="Tahoma"/>
          <w:b/>
          <w:color w:val="666666"/>
          <w:sz w:val="20"/>
          <w:szCs w:val="20"/>
        </w:rPr>
        <w:t>1</w:t>
      </w:r>
      <w:r w:rsidR="00023C53" w:rsidRPr="002C52DA">
        <w:rPr>
          <w:rFonts w:ascii="Tahoma" w:hAnsi="Tahoma" w:cs="Tahoma"/>
          <w:b/>
          <w:color w:val="666666"/>
          <w:sz w:val="20"/>
          <w:szCs w:val="20"/>
        </w:rPr>
        <w:t>5</w:t>
      </w:r>
      <w:r w:rsidR="006F3C2E" w:rsidRPr="002C52DA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 w:rsidR="0052294A">
        <w:rPr>
          <w:rFonts w:ascii="Tahoma" w:hAnsi="Tahoma" w:cs="Tahoma"/>
          <w:b/>
          <w:color w:val="666666"/>
          <w:sz w:val="20"/>
          <w:szCs w:val="20"/>
        </w:rPr>
        <w:t>8</w:t>
      </w:r>
      <w:r w:rsidR="00023C53" w:rsidRPr="002C52DA">
        <w:rPr>
          <w:rFonts w:ascii="Tahoma" w:hAnsi="Tahoma" w:cs="Tahoma"/>
          <w:b/>
          <w:color w:val="666666"/>
          <w:sz w:val="20"/>
          <w:szCs w:val="20"/>
        </w:rPr>
        <w:t>5</w:t>
      </w:r>
      <w:r w:rsidR="0052294A">
        <w:rPr>
          <w:rFonts w:ascii="Tahoma" w:hAnsi="Tahoma" w:cs="Tahoma"/>
          <w:b/>
          <w:color w:val="666666"/>
          <w:sz w:val="20"/>
          <w:szCs w:val="20"/>
        </w:rPr>
        <w:t>0</w:t>
      </w:r>
      <w:r w:rsidR="00613419" w:rsidRPr="002C52DA">
        <w:rPr>
          <w:rFonts w:ascii="Tahoma" w:hAnsi="Tahoma" w:cs="Tahoma"/>
          <w:b/>
          <w:color w:val="666666"/>
          <w:sz w:val="20"/>
          <w:szCs w:val="20"/>
        </w:rPr>
        <w:t>,</w:t>
      </w:r>
      <w:r w:rsidR="0052294A">
        <w:rPr>
          <w:rFonts w:ascii="Tahoma" w:hAnsi="Tahoma" w:cs="Tahoma"/>
          <w:b/>
          <w:color w:val="666666"/>
          <w:sz w:val="20"/>
          <w:szCs w:val="20"/>
        </w:rPr>
        <w:t>1</w:t>
      </w:r>
      <w:r w:rsidR="00C8702A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13419" w:rsidRPr="002C52DA">
        <w:rPr>
          <w:rFonts w:ascii="Tahoma" w:hAnsi="Tahoma" w:cs="Tahoma"/>
          <w:color w:val="666666"/>
          <w:sz w:val="20"/>
          <w:szCs w:val="20"/>
        </w:rPr>
        <w:t xml:space="preserve">млрд. руб., по сравнению с </w:t>
      </w:r>
      <w:r w:rsidR="00DF6343" w:rsidRPr="002C52DA">
        <w:rPr>
          <w:rFonts w:ascii="Tahoma" w:hAnsi="Tahoma" w:cs="Tahoma"/>
          <w:color w:val="666666"/>
          <w:sz w:val="20"/>
          <w:szCs w:val="20"/>
        </w:rPr>
        <w:t>1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5</w:t>
      </w:r>
      <w:r w:rsidR="00DF6343" w:rsidRPr="002C52DA">
        <w:rPr>
          <w:rFonts w:ascii="Tahoma" w:hAnsi="Tahoma" w:cs="Tahoma"/>
          <w:color w:val="666666"/>
          <w:sz w:val="20"/>
          <w:szCs w:val="20"/>
        </w:rPr>
        <w:t> 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562</w:t>
      </w:r>
      <w:r w:rsidR="00613419" w:rsidRPr="002C52DA">
        <w:rPr>
          <w:rFonts w:ascii="Tahoma" w:hAnsi="Tahoma" w:cs="Tahoma"/>
          <w:color w:val="666666"/>
          <w:sz w:val="20"/>
          <w:szCs w:val="20"/>
        </w:rPr>
        <w:t>,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9</w:t>
      </w:r>
      <w:r w:rsidR="00DF6343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13419" w:rsidRPr="002C52DA">
        <w:rPr>
          <w:rFonts w:ascii="Tahoma" w:hAnsi="Tahoma" w:cs="Tahoma"/>
          <w:color w:val="666666"/>
          <w:sz w:val="20"/>
          <w:szCs w:val="20"/>
        </w:rPr>
        <w:t xml:space="preserve">млрд. руб. </w:t>
      </w:r>
      <w:proofErr w:type="gramStart"/>
      <w:r w:rsidR="00613419" w:rsidRPr="002C52DA">
        <w:rPr>
          <w:rFonts w:ascii="Tahoma" w:hAnsi="Tahoma" w:cs="Tahoma"/>
          <w:color w:val="666666"/>
          <w:sz w:val="20"/>
          <w:szCs w:val="20"/>
        </w:rPr>
        <w:t>на конец</w:t>
      </w:r>
      <w:proofErr w:type="gramEnd"/>
      <w:r w:rsidR="00613419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DF6343" w:rsidRPr="002C52DA">
        <w:rPr>
          <w:rFonts w:ascii="Tahoma" w:hAnsi="Tahoma" w:cs="Tahoma"/>
          <w:color w:val="666666"/>
          <w:sz w:val="20"/>
          <w:szCs w:val="20"/>
        </w:rPr>
        <w:t>201</w:t>
      </w:r>
      <w:r w:rsidR="00023C53" w:rsidRPr="002C52DA">
        <w:rPr>
          <w:rFonts w:ascii="Tahoma" w:hAnsi="Tahoma" w:cs="Tahoma"/>
          <w:color w:val="666666"/>
          <w:sz w:val="20"/>
          <w:szCs w:val="20"/>
        </w:rPr>
        <w:t>4</w:t>
      </w:r>
      <w:r w:rsidR="00DF6343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13419" w:rsidRPr="002C52DA">
        <w:rPr>
          <w:rFonts w:ascii="Tahoma" w:hAnsi="Tahoma" w:cs="Tahoma"/>
          <w:color w:val="666666"/>
          <w:sz w:val="20"/>
          <w:szCs w:val="20"/>
        </w:rPr>
        <w:t>года</w:t>
      </w:r>
      <w:r w:rsidR="000F5BCB" w:rsidRPr="002C52DA">
        <w:rPr>
          <w:rFonts w:ascii="Tahoma" w:hAnsi="Tahoma" w:cs="Tahoma"/>
          <w:color w:val="666666"/>
          <w:sz w:val="20"/>
          <w:szCs w:val="20"/>
        </w:rPr>
        <w:t>.</w:t>
      </w:r>
    </w:p>
    <w:p w:rsidR="009F2AFC" w:rsidRPr="008C4638" w:rsidRDefault="009F2AFC" w:rsidP="00E60B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Style w:val="a4"/>
          <w:rFonts w:ascii="Tahoma" w:hAnsi="Tahoma" w:cs="Tahoma"/>
          <w:b w:val="0"/>
          <w:bCs w:val="0"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>О</w:t>
      </w:r>
      <w:r w:rsidRPr="00AA63E3">
        <w:rPr>
          <w:rFonts w:ascii="Tahoma" w:hAnsi="Tahoma" w:cs="Tahoma"/>
          <w:b/>
          <w:color w:val="666666"/>
          <w:sz w:val="20"/>
          <w:szCs w:val="20"/>
        </w:rPr>
        <w:t>тношени</w:t>
      </w:r>
      <w:r>
        <w:rPr>
          <w:rFonts w:ascii="Tahoma" w:hAnsi="Tahoma" w:cs="Tahoma"/>
          <w:b/>
          <w:color w:val="666666"/>
          <w:sz w:val="20"/>
          <w:szCs w:val="20"/>
        </w:rPr>
        <w:t>е</w:t>
      </w:r>
      <w:r w:rsidRPr="00AA63E3">
        <w:rPr>
          <w:rFonts w:ascii="Tahoma" w:hAnsi="Tahoma" w:cs="Tahoma"/>
          <w:b/>
          <w:color w:val="666666"/>
          <w:sz w:val="20"/>
          <w:szCs w:val="20"/>
        </w:rPr>
        <w:t xml:space="preserve"> кредитного портфеля к средствам клиентов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составил</w:t>
      </w:r>
      <w:r>
        <w:rPr>
          <w:rFonts w:ascii="Tahoma" w:hAnsi="Tahoma" w:cs="Tahoma"/>
          <w:color w:val="666666"/>
          <w:sz w:val="20"/>
          <w:szCs w:val="20"/>
        </w:rPr>
        <w:t>о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E73EF8">
        <w:rPr>
          <w:rFonts w:ascii="Tahoma" w:hAnsi="Tahoma" w:cs="Tahoma"/>
          <w:b/>
          <w:color w:val="666666"/>
          <w:sz w:val="20"/>
          <w:szCs w:val="20"/>
        </w:rPr>
        <w:t>102,2</w:t>
      </w:r>
      <w:r w:rsidRPr="00E73EF8">
        <w:rPr>
          <w:rFonts w:ascii="Tahoma" w:hAnsi="Tahoma" w:cs="Tahoma"/>
          <w:color w:val="666666"/>
          <w:sz w:val="20"/>
          <w:szCs w:val="20"/>
        </w:rPr>
        <w:t>%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по состоянию на 30 июня 2015 года по сравнению со 110,8% </w:t>
      </w:r>
      <w:proofErr w:type="gramStart"/>
      <w:r w:rsidRPr="00F2446C">
        <w:rPr>
          <w:rFonts w:ascii="Tahoma" w:hAnsi="Tahoma" w:cs="Tahoma"/>
          <w:color w:val="666666"/>
          <w:sz w:val="20"/>
          <w:szCs w:val="20"/>
        </w:rPr>
        <w:t>на конец</w:t>
      </w:r>
      <w:proofErr w:type="gramEnd"/>
      <w:r w:rsidRPr="00F2446C">
        <w:rPr>
          <w:rFonts w:ascii="Tahoma" w:hAnsi="Tahoma" w:cs="Tahoma"/>
          <w:color w:val="666666"/>
          <w:sz w:val="20"/>
          <w:szCs w:val="20"/>
        </w:rPr>
        <w:t xml:space="preserve"> 2014 года</w:t>
      </w:r>
      <w:r w:rsidR="00703903">
        <w:rPr>
          <w:rFonts w:ascii="Tahoma" w:hAnsi="Tahoma" w:cs="Tahoma"/>
          <w:color w:val="666666"/>
          <w:sz w:val="20"/>
          <w:szCs w:val="20"/>
        </w:rPr>
        <w:t>.</w:t>
      </w:r>
    </w:p>
    <w:p w:rsidR="00E60B37" w:rsidRPr="002C52DA" w:rsidRDefault="00E60B37" w:rsidP="00E60B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2C52DA">
        <w:rPr>
          <w:rStyle w:val="a4"/>
          <w:rFonts w:ascii="Tahoma" w:hAnsi="Tahoma" w:cs="Tahoma"/>
          <w:color w:val="666666"/>
          <w:sz w:val="20"/>
          <w:szCs w:val="20"/>
        </w:rPr>
        <w:t>Собственные средства Группы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 выросли </w:t>
      </w:r>
      <w:r w:rsidR="00E965C4" w:rsidRPr="002C52DA">
        <w:rPr>
          <w:rFonts w:ascii="Tahoma" w:hAnsi="Tahoma" w:cs="Tahoma"/>
          <w:color w:val="666666"/>
          <w:sz w:val="20"/>
          <w:szCs w:val="20"/>
        </w:rPr>
        <w:t>за</w:t>
      </w:r>
      <w:r w:rsidR="005C4ACF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947B4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52294A">
        <w:rPr>
          <w:rFonts w:ascii="Tahoma" w:hAnsi="Tahoma" w:cs="Tahoma"/>
          <w:color w:val="666666"/>
          <w:sz w:val="20"/>
          <w:szCs w:val="20"/>
        </w:rPr>
        <w:t>полугодие</w:t>
      </w:r>
      <w:r w:rsidR="007947B4">
        <w:rPr>
          <w:rFonts w:ascii="Tahoma" w:hAnsi="Tahoma" w:cs="Tahoma"/>
          <w:color w:val="666666"/>
          <w:sz w:val="20"/>
          <w:szCs w:val="20"/>
        </w:rPr>
        <w:t xml:space="preserve"> 2015</w:t>
      </w:r>
      <w:r w:rsidR="005C4ACF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C52DA">
        <w:rPr>
          <w:rFonts w:ascii="Tahoma" w:hAnsi="Tahoma" w:cs="Tahoma"/>
          <w:color w:val="666666"/>
          <w:sz w:val="20"/>
          <w:szCs w:val="20"/>
        </w:rPr>
        <w:t>год</w:t>
      </w:r>
      <w:r w:rsidR="005C4ACF" w:rsidRPr="002C52DA">
        <w:rPr>
          <w:rFonts w:ascii="Tahoma" w:hAnsi="Tahoma" w:cs="Tahoma"/>
          <w:color w:val="666666"/>
          <w:sz w:val="20"/>
          <w:szCs w:val="20"/>
        </w:rPr>
        <w:t>а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 на </w:t>
      </w:r>
      <w:r w:rsidR="0052294A">
        <w:rPr>
          <w:rFonts w:ascii="Tahoma" w:hAnsi="Tahoma" w:cs="Tahoma"/>
          <w:color w:val="666666"/>
          <w:sz w:val="20"/>
          <w:szCs w:val="20"/>
        </w:rPr>
        <w:t>7</w:t>
      </w:r>
      <w:r w:rsidRPr="002C52DA">
        <w:rPr>
          <w:rFonts w:ascii="Tahoma" w:hAnsi="Tahoma" w:cs="Tahoma"/>
          <w:color w:val="666666"/>
          <w:sz w:val="20"/>
          <w:szCs w:val="20"/>
        </w:rPr>
        <w:t>,</w:t>
      </w:r>
      <w:r w:rsidR="0052294A">
        <w:rPr>
          <w:rFonts w:ascii="Tahoma" w:hAnsi="Tahoma" w:cs="Tahoma"/>
          <w:color w:val="666666"/>
          <w:sz w:val="20"/>
          <w:szCs w:val="20"/>
        </w:rPr>
        <w:t>1</w:t>
      </w:r>
      <w:r w:rsidRPr="002C52DA">
        <w:rPr>
          <w:rFonts w:ascii="Tahoma" w:hAnsi="Tahoma" w:cs="Tahoma"/>
          <w:color w:val="666666"/>
          <w:sz w:val="20"/>
          <w:szCs w:val="20"/>
        </w:rPr>
        <w:t>%</w:t>
      </w:r>
      <w:r w:rsidR="005C4ACF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и составили </w:t>
      </w:r>
      <w:r w:rsidR="006F3C2E" w:rsidRPr="002C52DA">
        <w:rPr>
          <w:rFonts w:ascii="Tahoma" w:hAnsi="Tahoma" w:cs="Tahoma"/>
          <w:b/>
          <w:color w:val="666666"/>
          <w:sz w:val="20"/>
          <w:szCs w:val="20"/>
        </w:rPr>
        <w:t>2</w:t>
      </w:r>
      <w:r w:rsidR="00263BE2">
        <w:rPr>
          <w:rFonts w:ascii="Tahoma" w:hAnsi="Tahoma" w:cs="Tahoma"/>
          <w:b/>
          <w:color w:val="666666"/>
          <w:sz w:val="20"/>
          <w:szCs w:val="20"/>
          <w:lang w:val="en-US"/>
        </w:rPr>
        <w:t> </w:t>
      </w:r>
      <w:r w:rsidR="0052294A">
        <w:rPr>
          <w:rFonts w:ascii="Tahoma" w:hAnsi="Tahoma" w:cs="Tahoma"/>
          <w:b/>
          <w:color w:val="666666"/>
          <w:sz w:val="20"/>
          <w:szCs w:val="20"/>
        </w:rPr>
        <w:t>162</w:t>
      </w:r>
      <w:r w:rsidRPr="002C52DA">
        <w:rPr>
          <w:rFonts w:ascii="Tahoma" w:hAnsi="Tahoma" w:cs="Tahoma"/>
          <w:b/>
          <w:color w:val="666666"/>
          <w:sz w:val="20"/>
          <w:szCs w:val="20"/>
        </w:rPr>
        <w:t>,</w:t>
      </w:r>
      <w:r w:rsidR="0052294A">
        <w:rPr>
          <w:rFonts w:ascii="Tahoma" w:hAnsi="Tahoma" w:cs="Tahoma"/>
          <w:b/>
          <w:color w:val="666666"/>
          <w:sz w:val="20"/>
          <w:szCs w:val="20"/>
        </w:rPr>
        <w:t>6</w:t>
      </w:r>
      <w:r w:rsidR="001431BD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млрд. руб. </w:t>
      </w:r>
    </w:p>
    <w:p w:rsidR="00865A0B" w:rsidRPr="00E73EF8" w:rsidRDefault="00C56E3A" w:rsidP="00865A0B">
      <w:pPr>
        <w:numPr>
          <w:ilvl w:val="0"/>
          <w:numId w:val="1"/>
        </w:numPr>
        <w:shd w:val="clear" w:color="auto" w:fill="FFFFFF"/>
        <w:spacing w:before="100" w:beforeAutospacing="1" w:after="300" w:afterAutospacing="1" w:line="255" w:lineRule="atLeast"/>
        <w:jc w:val="both"/>
        <w:rPr>
          <w:rFonts w:ascii="Tahoma" w:hAnsi="Tahoma" w:cs="Tahoma"/>
          <w:b/>
          <w:bCs/>
          <w:color w:val="666666"/>
          <w:sz w:val="20"/>
          <w:szCs w:val="20"/>
        </w:rPr>
      </w:pPr>
      <w:r w:rsidRPr="00523BA4">
        <w:rPr>
          <w:rFonts w:ascii="Tahoma" w:hAnsi="Tahoma" w:cs="Tahoma"/>
          <w:b/>
          <w:bCs/>
          <w:color w:val="666666"/>
          <w:sz w:val="20"/>
          <w:szCs w:val="20"/>
        </w:rPr>
        <w:t>Показатель достаточности общего капитала Группы</w:t>
      </w:r>
      <w:r w:rsidRPr="00523BA4">
        <w:rPr>
          <w:rFonts w:ascii="Tahoma" w:hAnsi="Tahoma" w:cs="Tahoma"/>
          <w:color w:val="666666"/>
          <w:sz w:val="20"/>
          <w:szCs w:val="20"/>
        </w:rPr>
        <w:t xml:space="preserve"> </w:t>
      </w:r>
      <w:r w:rsidR="008654B1" w:rsidRPr="00E73EF8">
        <w:rPr>
          <w:rFonts w:ascii="Tahoma" w:hAnsi="Tahoma" w:cs="Tahoma"/>
          <w:color w:val="666666"/>
          <w:sz w:val="20"/>
          <w:szCs w:val="20"/>
        </w:rPr>
        <w:t xml:space="preserve">(Базель </w:t>
      </w:r>
      <w:r w:rsidR="00263BE2" w:rsidRPr="00E73EF8">
        <w:rPr>
          <w:rFonts w:ascii="Tahoma" w:hAnsi="Tahoma" w:cs="Tahoma"/>
          <w:color w:val="666666"/>
          <w:sz w:val="20"/>
          <w:szCs w:val="20"/>
          <w:lang w:val="en-GB"/>
        </w:rPr>
        <w:t>I</w:t>
      </w:r>
      <w:r w:rsidR="008654B1" w:rsidRPr="00E73EF8">
        <w:rPr>
          <w:rFonts w:ascii="Tahoma" w:hAnsi="Tahoma" w:cs="Tahoma"/>
          <w:color w:val="666666"/>
          <w:sz w:val="20"/>
          <w:szCs w:val="20"/>
        </w:rPr>
        <w:t>)</w:t>
      </w:r>
      <w:r w:rsidR="008654B1" w:rsidRPr="00523BA4">
        <w:rPr>
          <w:rFonts w:ascii="Tahoma" w:hAnsi="Tahoma" w:cs="Tahoma"/>
          <w:color w:val="666666"/>
          <w:sz w:val="20"/>
          <w:szCs w:val="20"/>
        </w:rPr>
        <w:t xml:space="preserve"> </w:t>
      </w:r>
      <w:r w:rsidR="001431BD" w:rsidRPr="00523BA4">
        <w:rPr>
          <w:rFonts w:ascii="Tahoma" w:hAnsi="Tahoma" w:cs="Tahoma"/>
          <w:color w:val="666666"/>
          <w:sz w:val="20"/>
          <w:szCs w:val="20"/>
        </w:rPr>
        <w:t xml:space="preserve">за </w:t>
      </w:r>
      <w:r w:rsidR="007947B4" w:rsidRPr="00523BA4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921F3C" w:rsidRPr="00523BA4">
        <w:rPr>
          <w:rFonts w:ascii="Tahoma" w:hAnsi="Tahoma" w:cs="Tahoma"/>
          <w:color w:val="666666"/>
          <w:sz w:val="20"/>
          <w:szCs w:val="20"/>
        </w:rPr>
        <w:t>полугодие</w:t>
      </w:r>
      <w:r w:rsidR="007947B4" w:rsidRPr="00523BA4">
        <w:rPr>
          <w:rFonts w:ascii="Tahoma" w:hAnsi="Tahoma" w:cs="Tahoma"/>
          <w:color w:val="666666"/>
          <w:sz w:val="20"/>
          <w:szCs w:val="20"/>
        </w:rPr>
        <w:t xml:space="preserve"> 2015</w:t>
      </w:r>
      <w:r w:rsidR="001431BD" w:rsidRPr="00523BA4">
        <w:rPr>
          <w:rFonts w:ascii="Tahoma" w:hAnsi="Tahoma" w:cs="Tahoma"/>
          <w:color w:val="666666"/>
          <w:sz w:val="20"/>
          <w:szCs w:val="20"/>
        </w:rPr>
        <w:t xml:space="preserve"> года увеличился на </w:t>
      </w:r>
      <w:r w:rsidR="00921F3C" w:rsidRPr="00523BA4">
        <w:rPr>
          <w:rFonts w:ascii="Tahoma" w:hAnsi="Tahoma" w:cs="Tahoma"/>
          <w:color w:val="666666"/>
          <w:sz w:val="20"/>
          <w:szCs w:val="20"/>
        </w:rPr>
        <w:t>130</w:t>
      </w:r>
      <w:r w:rsidR="001431BD" w:rsidRPr="00523BA4">
        <w:rPr>
          <w:rFonts w:ascii="Tahoma" w:hAnsi="Tahoma" w:cs="Tahoma"/>
          <w:color w:val="666666"/>
          <w:sz w:val="20"/>
          <w:szCs w:val="20"/>
        </w:rPr>
        <w:t xml:space="preserve"> базисных пунктов и</w:t>
      </w:r>
      <w:r w:rsidRPr="00523BA4">
        <w:rPr>
          <w:rFonts w:ascii="Tahoma" w:hAnsi="Tahoma" w:cs="Tahoma"/>
          <w:color w:val="666666"/>
          <w:sz w:val="20"/>
          <w:szCs w:val="20"/>
        </w:rPr>
        <w:t xml:space="preserve"> составил </w:t>
      </w:r>
      <w:r w:rsidR="001431BD" w:rsidRPr="00523BA4">
        <w:rPr>
          <w:rFonts w:ascii="Tahoma" w:hAnsi="Tahoma" w:cs="Tahoma"/>
          <w:b/>
          <w:color w:val="666666"/>
          <w:sz w:val="20"/>
          <w:szCs w:val="20"/>
        </w:rPr>
        <w:t>1</w:t>
      </w:r>
      <w:r w:rsidR="00921F3C" w:rsidRPr="00523BA4">
        <w:rPr>
          <w:rFonts w:ascii="Tahoma" w:hAnsi="Tahoma" w:cs="Tahoma"/>
          <w:b/>
          <w:color w:val="666666"/>
          <w:sz w:val="20"/>
          <w:szCs w:val="20"/>
        </w:rPr>
        <w:t>3</w:t>
      </w:r>
      <w:r w:rsidRPr="00523BA4">
        <w:rPr>
          <w:rFonts w:ascii="Tahoma" w:hAnsi="Tahoma" w:cs="Tahoma"/>
          <w:b/>
          <w:color w:val="666666"/>
          <w:sz w:val="20"/>
          <w:szCs w:val="20"/>
        </w:rPr>
        <w:t>,</w:t>
      </w:r>
      <w:r w:rsidR="00921F3C" w:rsidRPr="00523BA4">
        <w:rPr>
          <w:rFonts w:ascii="Tahoma" w:hAnsi="Tahoma" w:cs="Tahoma"/>
          <w:b/>
          <w:color w:val="666666"/>
          <w:sz w:val="20"/>
          <w:szCs w:val="20"/>
        </w:rPr>
        <w:t>4</w:t>
      </w:r>
      <w:r w:rsidR="00A85619" w:rsidRPr="00E73EF8">
        <w:rPr>
          <w:rFonts w:ascii="Tahoma" w:hAnsi="Tahoma" w:cs="Tahoma"/>
          <w:color w:val="666666"/>
          <w:sz w:val="20"/>
          <w:szCs w:val="20"/>
        </w:rPr>
        <w:t>%</w:t>
      </w:r>
      <w:r w:rsidRPr="00523BA4">
        <w:rPr>
          <w:rFonts w:ascii="Tahoma" w:hAnsi="Tahoma" w:cs="Tahoma"/>
          <w:color w:val="666666"/>
          <w:sz w:val="20"/>
          <w:szCs w:val="20"/>
        </w:rPr>
        <w:t>.</w:t>
      </w:r>
      <w:r w:rsidR="00910EA6" w:rsidRPr="00523BA4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10EA6" w:rsidRPr="00E73EF8">
        <w:rPr>
          <w:rFonts w:ascii="Tahoma" w:hAnsi="Tahoma" w:cs="Tahoma"/>
          <w:b/>
          <w:color w:val="666666"/>
          <w:sz w:val="20"/>
          <w:szCs w:val="20"/>
        </w:rPr>
        <w:t>Показатель достаточности основного капитала</w:t>
      </w:r>
      <w:r w:rsidR="00910EA6" w:rsidRPr="00523BA4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D5CCF" w:rsidRPr="00523BA4">
        <w:rPr>
          <w:rFonts w:ascii="Tahoma" w:hAnsi="Tahoma" w:cs="Tahoma"/>
          <w:color w:val="666666"/>
          <w:sz w:val="20"/>
          <w:szCs w:val="20"/>
        </w:rPr>
        <w:t>(</w:t>
      </w:r>
      <w:r w:rsidR="00F33B62" w:rsidRPr="00523BA4">
        <w:rPr>
          <w:rFonts w:ascii="Tahoma" w:hAnsi="Tahoma" w:cs="Tahoma"/>
          <w:color w:val="666666"/>
          <w:sz w:val="20"/>
          <w:szCs w:val="20"/>
        </w:rPr>
        <w:t xml:space="preserve">капитала </w:t>
      </w:r>
      <w:r w:rsidR="004D5CCF" w:rsidRPr="00523BA4">
        <w:rPr>
          <w:rFonts w:ascii="Tahoma" w:hAnsi="Tahoma" w:cs="Tahoma"/>
          <w:color w:val="666666"/>
          <w:sz w:val="20"/>
          <w:szCs w:val="20"/>
        </w:rPr>
        <w:t xml:space="preserve">первого уровня) </w:t>
      </w:r>
      <w:r w:rsidR="00910EA6" w:rsidRPr="00523BA4">
        <w:rPr>
          <w:rFonts w:ascii="Tahoma" w:hAnsi="Tahoma" w:cs="Tahoma"/>
          <w:color w:val="666666"/>
          <w:sz w:val="20"/>
          <w:szCs w:val="20"/>
        </w:rPr>
        <w:t xml:space="preserve">Группы </w:t>
      </w:r>
      <w:r w:rsidR="008A3BC2" w:rsidRPr="00523BA4">
        <w:rPr>
          <w:rFonts w:ascii="Tahoma" w:hAnsi="Tahoma" w:cs="Tahoma"/>
          <w:color w:val="666666"/>
          <w:sz w:val="20"/>
          <w:szCs w:val="20"/>
        </w:rPr>
        <w:t>увеличился</w:t>
      </w:r>
      <w:r w:rsidR="00910EA6" w:rsidRPr="00523BA4">
        <w:rPr>
          <w:rFonts w:ascii="Tahoma" w:hAnsi="Tahoma" w:cs="Tahoma"/>
          <w:color w:val="666666"/>
          <w:sz w:val="20"/>
          <w:szCs w:val="20"/>
        </w:rPr>
        <w:t xml:space="preserve"> на </w:t>
      </w:r>
      <w:r w:rsidR="00921F3C" w:rsidRPr="00523BA4">
        <w:rPr>
          <w:rFonts w:ascii="Tahoma" w:hAnsi="Tahoma" w:cs="Tahoma"/>
          <w:color w:val="666666"/>
          <w:sz w:val="20"/>
          <w:szCs w:val="20"/>
        </w:rPr>
        <w:t>10</w:t>
      </w:r>
      <w:r w:rsidR="006F3C2E" w:rsidRPr="00523BA4">
        <w:rPr>
          <w:rFonts w:ascii="Tahoma" w:hAnsi="Tahoma" w:cs="Tahoma"/>
          <w:color w:val="666666"/>
          <w:sz w:val="20"/>
          <w:szCs w:val="20"/>
        </w:rPr>
        <w:t>0</w:t>
      </w:r>
      <w:r w:rsidR="00910EA6" w:rsidRPr="00523BA4">
        <w:rPr>
          <w:rFonts w:ascii="Tahoma" w:hAnsi="Tahoma" w:cs="Tahoma"/>
          <w:color w:val="666666"/>
          <w:sz w:val="20"/>
          <w:szCs w:val="20"/>
        </w:rPr>
        <w:t xml:space="preserve"> базисных пунктов и составил </w:t>
      </w:r>
      <w:r w:rsidR="008A3BC2" w:rsidRPr="00523BA4">
        <w:rPr>
          <w:rFonts w:ascii="Tahoma" w:hAnsi="Tahoma" w:cs="Tahoma"/>
          <w:b/>
          <w:color w:val="666666"/>
          <w:sz w:val="20"/>
          <w:szCs w:val="20"/>
        </w:rPr>
        <w:t>9</w:t>
      </w:r>
      <w:r w:rsidR="00910EA6" w:rsidRPr="00523BA4">
        <w:rPr>
          <w:rFonts w:ascii="Tahoma" w:hAnsi="Tahoma" w:cs="Tahoma"/>
          <w:b/>
          <w:color w:val="666666"/>
          <w:sz w:val="20"/>
          <w:szCs w:val="20"/>
        </w:rPr>
        <w:t>,</w:t>
      </w:r>
      <w:r w:rsidR="00921F3C" w:rsidRPr="00523BA4">
        <w:rPr>
          <w:rFonts w:ascii="Tahoma" w:hAnsi="Tahoma" w:cs="Tahoma"/>
          <w:b/>
          <w:color w:val="666666"/>
          <w:sz w:val="20"/>
          <w:szCs w:val="20"/>
        </w:rPr>
        <w:t>6</w:t>
      </w:r>
      <w:r w:rsidR="00910EA6" w:rsidRPr="00E73EF8">
        <w:rPr>
          <w:rFonts w:ascii="Tahoma" w:hAnsi="Tahoma" w:cs="Tahoma"/>
          <w:color w:val="666666"/>
          <w:sz w:val="20"/>
          <w:szCs w:val="20"/>
        </w:rPr>
        <w:t>%</w:t>
      </w:r>
      <w:r w:rsidR="00910EA6" w:rsidRPr="00523BA4">
        <w:rPr>
          <w:rFonts w:ascii="Tahoma" w:hAnsi="Tahoma" w:cs="Tahoma"/>
          <w:color w:val="666666"/>
          <w:sz w:val="20"/>
          <w:szCs w:val="20"/>
        </w:rPr>
        <w:t>.</w:t>
      </w:r>
    </w:p>
    <w:p w:rsidR="003B3A22" w:rsidRPr="00523BA4" w:rsidRDefault="003B3A22" w:rsidP="00E73EF8">
      <w:pPr>
        <w:shd w:val="clear" w:color="auto" w:fill="FFFFFF"/>
        <w:spacing w:before="100" w:beforeAutospacing="1" w:after="300" w:afterAutospacing="1" w:line="255" w:lineRule="atLeast"/>
        <w:jc w:val="both"/>
        <w:rPr>
          <w:rStyle w:val="a4"/>
          <w:rFonts w:ascii="Tahoma" w:hAnsi="Tahoma" w:cs="Tahoma"/>
          <w:color w:val="666666"/>
          <w:sz w:val="20"/>
          <w:szCs w:val="20"/>
        </w:rPr>
      </w:pPr>
    </w:p>
    <w:p w:rsidR="00E60B37" w:rsidRPr="002C52DA" w:rsidRDefault="00E60B37" w:rsidP="00E60B37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2C52DA">
        <w:rPr>
          <w:rStyle w:val="a4"/>
          <w:rFonts w:ascii="Tahoma" w:hAnsi="Tahoma" w:cs="Tahoma"/>
          <w:color w:val="666666"/>
          <w:sz w:val="20"/>
          <w:szCs w:val="20"/>
        </w:rPr>
        <w:t>Обзор финансовых и операционных показателей:</w:t>
      </w:r>
    </w:p>
    <w:p w:rsidR="002B4646" w:rsidRPr="002C52DA" w:rsidRDefault="002B4646" w:rsidP="002B464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2C52DA">
        <w:rPr>
          <w:rStyle w:val="a4"/>
          <w:rFonts w:ascii="Tahoma" w:hAnsi="Tahoma" w:cs="Tahoma"/>
          <w:color w:val="666666"/>
          <w:sz w:val="20"/>
          <w:szCs w:val="20"/>
        </w:rPr>
        <w:t>Процентные доходы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 за </w:t>
      </w:r>
      <w:r w:rsidR="00523BA4">
        <w:rPr>
          <w:rFonts w:ascii="Tahoma" w:hAnsi="Tahoma" w:cs="Tahoma"/>
          <w:color w:val="666666"/>
          <w:sz w:val="20"/>
          <w:szCs w:val="20"/>
        </w:rPr>
        <w:t xml:space="preserve">первое </w:t>
      </w:r>
      <w:r w:rsidR="00921F3C">
        <w:rPr>
          <w:rFonts w:ascii="Tahoma" w:hAnsi="Tahoma" w:cs="Tahoma"/>
          <w:color w:val="666666"/>
          <w:sz w:val="20"/>
          <w:szCs w:val="20"/>
        </w:rPr>
        <w:t>полугодие</w:t>
      </w:r>
      <w:r w:rsidR="007947B4">
        <w:rPr>
          <w:rFonts w:ascii="Tahoma" w:hAnsi="Tahoma" w:cs="Tahoma"/>
          <w:color w:val="666666"/>
          <w:sz w:val="20"/>
          <w:szCs w:val="20"/>
        </w:rPr>
        <w:t xml:space="preserve"> 2015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 года увеличились на</w:t>
      </w:r>
      <w:r w:rsidR="00523BA4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21F3C">
        <w:rPr>
          <w:rFonts w:ascii="Tahoma" w:hAnsi="Tahoma" w:cs="Tahoma"/>
          <w:color w:val="666666"/>
          <w:sz w:val="20"/>
          <w:szCs w:val="20"/>
        </w:rPr>
        <w:t>29</w:t>
      </w:r>
      <w:r w:rsidRPr="002C52DA">
        <w:rPr>
          <w:rFonts w:ascii="Tahoma" w:hAnsi="Tahoma" w:cs="Tahoma"/>
          <w:color w:val="666666"/>
          <w:sz w:val="20"/>
          <w:szCs w:val="20"/>
        </w:rPr>
        <w:t>,</w:t>
      </w:r>
      <w:r w:rsidR="00921F3C">
        <w:rPr>
          <w:rFonts w:ascii="Tahoma" w:hAnsi="Tahoma" w:cs="Tahoma"/>
          <w:color w:val="666666"/>
          <w:sz w:val="20"/>
          <w:szCs w:val="20"/>
        </w:rPr>
        <w:t>1</w:t>
      </w:r>
      <w:r w:rsidRPr="002C52DA">
        <w:rPr>
          <w:rFonts w:ascii="Tahoma" w:hAnsi="Tahoma" w:cs="Tahoma"/>
          <w:color w:val="666666"/>
          <w:sz w:val="20"/>
          <w:szCs w:val="20"/>
        </w:rPr>
        <w:t>% по сравнению с аналогичным периодом 201</w:t>
      </w:r>
      <w:r w:rsidR="00111208" w:rsidRPr="002C52DA">
        <w:rPr>
          <w:rFonts w:ascii="Tahoma" w:hAnsi="Tahoma" w:cs="Tahoma"/>
          <w:color w:val="666666"/>
          <w:sz w:val="20"/>
          <w:szCs w:val="20"/>
        </w:rPr>
        <w:t>4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 г</w:t>
      </w:r>
      <w:r w:rsidR="0073779E" w:rsidRPr="002C52DA">
        <w:rPr>
          <w:rFonts w:ascii="Tahoma" w:hAnsi="Tahoma" w:cs="Tahoma"/>
          <w:color w:val="666666"/>
          <w:sz w:val="20"/>
          <w:szCs w:val="20"/>
        </w:rPr>
        <w:t xml:space="preserve">ода и составили </w:t>
      </w:r>
      <w:r w:rsidR="00921F3C">
        <w:rPr>
          <w:rFonts w:ascii="Tahoma" w:hAnsi="Tahoma" w:cs="Tahoma"/>
          <w:color w:val="666666"/>
          <w:sz w:val="20"/>
          <w:szCs w:val="20"/>
        </w:rPr>
        <w:t>1 106</w:t>
      </w:r>
      <w:r w:rsidR="003C3587" w:rsidRPr="002C52DA">
        <w:rPr>
          <w:rFonts w:ascii="Tahoma" w:hAnsi="Tahoma" w:cs="Tahoma"/>
          <w:color w:val="666666"/>
          <w:sz w:val="20"/>
          <w:szCs w:val="20"/>
        </w:rPr>
        <w:t>,</w:t>
      </w:r>
      <w:r w:rsidR="00921F3C">
        <w:rPr>
          <w:rFonts w:ascii="Tahoma" w:hAnsi="Tahoma" w:cs="Tahoma"/>
          <w:color w:val="666666"/>
          <w:sz w:val="20"/>
          <w:szCs w:val="20"/>
        </w:rPr>
        <w:t>5</w:t>
      </w:r>
      <w:r w:rsidR="0073779E" w:rsidRPr="002C52DA"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Pr="002C52DA">
        <w:rPr>
          <w:rFonts w:ascii="Tahoma" w:hAnsi="Tahoma" w:cs="Tahoma"/>
          <w:color w:val="666666"/>
          <w:sz w:val="20"/>
          <w:szCs w:val="20"/>
        </w:rPr>
        <w:t xml:space="preserve">. </w:t>
      </w:r>
      <w:r w:rsidR="00BD7B42" w:rsidRPr="002C52DA">
        <w:rPr>
          <w:rFonts w:ascii="Tahoma" w:hAnsi="Tahoma" w:cs="Tahoma"/>
          <w:color w:val="666666"/>
          <w:sz w:val="20"/>
          <w:szCs w:val="20"/>
        </w:rPr>
        <w:t>Увеличение обусловлено более высокими процентными ставками по корпоративным кредитам</w:t>
      </w:r>
      <w:r w:rsidR="006A3861">
        <w:rPr>
          <w:rFonts w:ascii="Tahoma" w:hAnsi="Tahoma" w:cs="Tahoma"/>
          <w:color w:val="666666"/>
          <w:sz w:val="20"/>
          <w:szCs w:val="20"/>
        </w:rPr>
        <w:t xml:space="preserve"> и </w:t>
      </w:r>
      <w:r w:rsidR="002E768A">
        <w:rPr>
          <w:rFonts w:ascii="Tahoma" w:hAnsi="Tahoma" w:cs="Tahoma"/>
          <w:color w:val="666666"/>
          <w:sz w:val="20"/>
          <w:szCs w:val="20"/>
        </w:rPr>
        <w:t xml:space="preserve">ростом </w:t>
      </w:r>
      <w:r w:rsidR="006A3861">
        <w:rPr>
          <w:rFonts w:ascii="Tahoma" w:hAnsi="Tahoma" w:cs="Tahoma"/>
          <w:color w:val="666666"/>
          <w:sz w:val="20"/>
          <w:szCs w:val="20"/>
        </w:rPr>
        <w:t>объём</w:t>
      </w:r>
      <w:r w:rsidR="009707F4">
        <w:rPr>
          <w:rFonts w:ascii="Tahoma" w:hAnsi="Tahoma" w:cs="Tahoma"/>
          <w:color w:val="666666"/>
          <w:sz w:val="20"/>
          <w:szCs w:val="20"/>
        </w:rPr>
        <w:t>а</w:t>
      </w:r>
      <w:r w:rsidR="006A3861">
        <w:rPr>
          <w:rFonts w:ascii="Tahoma" w:hAnsi="Tahoma" w:cs="Tahoma"/>
          <w:color w:val="666666"/>
          <w:sz w:val="20"/>
          <w:szCs w:val="20"/>
        </w:rPr>
        <w:t xml:space="preserve"> активов, </w:t>
      </w:r>
      <w:r w:rsidR="002E768A">
        <w:rPr>
          <w:rFonts w:ascii="Tahoma" w:hAnsi="Tahoma" w:cs="Tahoma"/>
          <w:color w:val="666666"/>
          <w:sz w:val="20"/>
          <w:szCs w:val="20"/>
        </w:rPr>
        <w:t xml:space="preserve">генерирующих </w:t>
      </w:r>
      <w:r w:rsidR="006A3861">
        <w:rPr>
          <w:rFonts w:ascii="Tahoma" w:hAnsi="Tahoma" w:cs="Tahoma"/>
          <w:color w:val="666666"/>
          <w:sz w:val="20"/>
          <w:szCs w:val="20"/>
        </w:rPr>
        <w:t>процентные доходы</w:t>
      </w:r>
      <w:r w:rsidRPr="002C52DA">
        <w:rPr>
          <w:rFonts w:ascii="Tahoma" w:hAnsi="Tahoma" w:cs="Tahoma"/>
          <w:color w:val="666666"/>
          <w:sz w:val="20"/>
          <w:szCs w:val="20"/>
        </w:rPr>
        <w:t>.</w:t>
      </w:r>
    </w:p>
    <w:p w:rsidR="002B4646" w:rsidRPr="00F2446C" w:rsidRDefault="002B4646" w:rsidP="002B464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2C52DA">
        <w:rPr>
          <w:rStyle w:val="a4"/>
          <w:rFonts w:ascii="Tahoma" w:hAnsi="Tahoma" w:cs="Tahoma"/>
          <w:color w:val="666666"/>
          <w:sz w:val="20"/>
          <w:szCs w:val="20"/>
        </w:rPr>
        <w:t xml:space="preserve">Процентные </w:t>
      </w:r>
      <w:r w:rsidRPr="00130DA9">
        <w:rPr>
          <w:rStyle w:val="a4"/>
          <w:rFonts w:ascii="Tahoma" w:hAnsi="Tahoma" w:cs="Tahoma"/>
          <w:color w:val="666666"/>
          <w:sz w:val="20"/>
          <w:szCs w:val="20"/>
        </w:rPr>
        <w:t>расходы</w:t>
      </w:r>
      <w:r w:rsidR="003C3587" w:rsidRPr="00130DA9">
        <w:rPr>
          <w:rStyle w:val="a4"/>
          <w:rFonts w:ascii="Tahoma" w:hAnsi="Tahoma" w:cs="Tahoma"/>
          <w:color w:val="666666"/>
          <w:sz w:val="20"/>
          <w:szCs w:val="20"/>
        </w:rPr>
        <w:t xml:space="preserve"> </w:t>
      </w:r>
      <w:r w:rsidR="003C3587" w:rsidRPr="00E73EF8">
        <w:rPr>
          <w:rStyle w:val="a4"/>
          <w:rFonts w:ascii="Tahoma" w:hAnsi="Tahoma" w:cs="Tahoma"/>
          <w:b w:val="0"/>
          <w:color w:val="666666"/>
          <w:sz w:val="20"/>
          <w:szCs w:val="20"/>
        </w:rPr>
        <w:t>(включая расходы, связанные со страхованием вкладов)</w:t>
      </w:r>
      <w:r w:rsidRPr="00130DA9">
        <w:rPr>
          <w:rFonts w:ascii="Tahoma" w:hAnsi="Tahoma" w:cs="Tahoma"/>
          <w:color w:val="666666"/>
          <w:sz w:val="20"/>
          <w:szCs w:val="20"/>
        </w:rPr>
        <w:t xml:space="preserve"> за </w:t>
      </w:r>
      <w:r w:rsidR="00523BA4">
        <w:rPr>
          <w:rFonts w:ascii="Tahoma" w:hAnsi="Tahoma" w:cs="Tahoma"/>
          <w:color w:val="666666"/>
          <w:sz w:val="20"/>
          <w:szCs w:val="20"/>
        </w:rPr>
        <w:t>первое</w:t>
      </w:r>
      <w:r w:rsidR="000F29BA" w:rsidRPr="00130DA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21F3C">
        <w:rPr>
          <w:rFonts w:ascii="Tahoma" w:hAnsi="Tahoma" w:cs="Tahoma"/>
          <w:color w:val="666666"/>
          <w:sz w:val="20"/>
          <w:szCs w:val="20"/>
        </w:rPr>
        <w:t>полугодие</w:t>
      </w:r>
      <w:r w:rsidR="000F29BA" w:rsidRPr="00130DA9">
        <w:rPr>
          <w:rFonts w:ascii="Tahoma" w:hAnsi="Tahoma" w:cs="Tahoma"/>
          <w:color w:val="666666"/>
          <w:sz w:val="20"/>
          <w:szCs w:val="20"/>
        </w:rPr>
        <w:t xml:space="preserve"> 201</w:t>
      </w:r>
      <w:r w:rsidR="00D11619" w:rsidRPr="00130DA9">
        <w:rPr>
          <w:rFonts w:ascii="Tahoma" w:hAnsi="Tahoma" w:cs="Tahoma"/>
          <w:color w:val="666666"/>
          <w:sz w:val="20"/>
          <w:szCs w:val="20"/>
        </w:rPr>
        <w:t>5</w:t>
      </w:r>
      <w:r w:rsidRPr="00130DA9">
        <w:rPr>
          <w:rFonts w:ascii="Tahoma" w:hAnsi="Tahoma" w:cs="Tahoma"/>
          <w:color w:val="666666"/>
          <w:sz w:val="20"/>
          <w:szCs w:val="20"/>
        </w:rPr>
        <w:t xml:space="preserve"> года увеличились на </w:t>
      </w:r>
      <w:r w:rsidR="00921F3C">
        <w:rPr>
          <w:rFonts w:ascii="Tahoma" w:hAnsi="Tahoma" w:cs="Tahoma"/>
          <w:color w:val="666666"/>
          <w:sz w:val="20"/>
          <w:szCs w:val="20"/>
        </w:rPr>
        <w:t>84</w:t>
      </w:r>
      <w:r w:rsidRPr="00130DA9">
        <w:rPr>
          <w:rFonts w:ascii="Tahoma" w:hAnsi="Tahoma" w:cs="Tahoma"/>
          <w:color w:val="666666"/>
          <w:sz w:val="20"/>
          <w:szCs w:val="20"/>
        </w:rPr>
        <w:t>,</w:t>
      </w:r>
      <w:r w:rsidR="00921F3C">
        <w:rPr>
          <w:rFonts w:ascii="Tahoma" w:hAnsi="Tahoma" w:cs="Tahoma"/>
          <w:color w:val="666666"/>
          <w:sz w:val="20"/>
          <w:szCs w:val="20"/>
        </w:rPr>
        <w:t>8</w:t>
      </w:r>
      <w:r w:rsidRPr="00130DA9">
        <w:rPr>
          <w:rFonts w:ascii="Tahoma" w:hAnsi="Tahoma" w:cs="Tahoma"/>
          <w:color w:val="666666"/>
          <w:sz w:val="20"/>
          <w:szCs w:val="20"/>
        </w:rPr>
        <w:t>% по сравнению с аналогичным пе</w:t>
      </w:r>
      <w:r w:rsidR="003C3587" w:rsidRPr="00130DA9">
        <w:rPr>
          <w:rFonts w:ascii="Tahoma" w:hAnsi="Tahoma" w:cs="Tahoma"/>
          <w:color w:val="666666"/>
          <w:sz w:val="20"/>
          <w:szCs w:val="20"/>
        </w:rPr>
        <w:t xml:space="preserve">риодом </w:t>
      </w:r>
      <w:r w:rsidR="00523BA4">
        <w:rPr>
          <w:rFonts w:ascii="Tahoma" w:hAnsi="Tahoma" w:cs="Tahoma"/>
          <w:color w:val="666666"/>
          <w:sz w:val="20"/>
          <w:szCs w:val="20"/>
        </w:rPr>
        <w:t>прошлого</w:t>
      </w:r>
      <w:r w:rsidR="003C3587" w:rsidRPr="00130DA9">
        <w:rPr>
          <w:rFonts w:ascii="Tahoma" w:hAnsi="Tahoma" w:cs="Tahoma"/>
          <w:color w:val="666666"/>
          <w:sz w:val="20"/>
          <w:szCs w:val="20"/>
        </w:rPr>
        <w:t xml:space="preserve"> года и составили </w:t>
      </w:r>
      <w:r w:rsidR="00921F3C">
        <w:rPr>
          <w:rFonts w:ascii="Tahoma" w:hAnsi="Tahoma" w:cs="Tahoma"/>
          <w:color w:val="666666"/>
          <w:sz w:val="20"/>
          <w:szCs w:val="20"/>
        </w:rPr>
        <w:t>679</w:t>
      </w:r>
      <w:r w:rsidRPr="00130DA9">
        <w:rPr>
          <w:rFonts w:ascii="Tahoma" w:hAnsi="Tahoma" w:cs="Tahoma"/>
          <w:color w:val="666666"/>
          <w:sz w:val="20"/>
          <w:szCs w:val="20"/>
        </w:rPr>
        <w:t>,</w:t>
      </w:r>
      <w:r w:rsidR="00921F3C">
        <w:rPr>
          <w:rFonts w:ascii="Tahoma" w:hAnsi="Tahoma" w:cs="Tahoma"/>
          <w:color w:val="666666"/>
          <w:sz w:val="20"/>
          <w:szCs w:val="20"/>
        </w:rPr>
        <w:t>1</w:t>
      </w:r>
      <w:r w:rsidRPr="00130DA9">
        <w:rPr>
          <w:rFonts w:ascii="Tahoma" w:hAnsi="Tahoma" w:cs="Tahoma"/>
          <w:color w:val="666666"/>
          <w:sz w:val="20"/>
          <w:szCs w:val="20"/>
          <w:lang w:val="en-US"/>
        </w:rPr>
        <w:t> </w:t>
      </w:r>
      <w:r w:rsidRPr="00130DA9">
        <w:rPr>
          <w:rFonts w:ascii="Tahoma" w:hAnsi="Tahoma" w:cs="Tahoma"/>
          <w:color w:val="666666"/>
          <w:sz w:val="20"/>
          <w:szCs w:val="20"/>
        </w:rPr>
        <w:t>млрд. руб.</w:t>
      </w:r>
      <w:r w:rsidR="006A10C8" w:rsidRPr="00130DA9">
        <w:rPr>
          <w:rFonts w:ascii="Tahoma" w:hAnsi="Tahoma" w:cs="Tahoma"/>
          <w:color w:val="666666"/>
          <w:sz w:val="20"/>
          <w:szCs w:val="20"/>
        </w:rPr>
        <w:t xml:space="preserve">, при этом основными источниками роста </w:t>
      </w:r>
      <w:r w:rsidR="00130DA9">
        <w:rPr>
          <w:rFonts w:ascii="Tahoma" w:hAnsi="Tahoma" w:cs="Tahoma"/>
          <w:color w:val="666666"/>
          <w:sz w:val="20"/>
          <w:szCs w:val="20"/>
        </w:rPr>
        <w:t>стали</w:t>
      </w:r>
      <w:r w:rsidR="006A10C8" w:rsidRPr="00130DA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C1AD7">
        <w:rPr>
          <w:rFonts w:ascii="Tahoma" w:hAnsi="Tahoma" w:cs="Tahoma"/>
          <w:color w:val="666666"/>
          <w:sz w:val="20"/>
          <w:szCs w:val="20"/>
        </w:rPr>
        <w:t>процентные расходы по</w:t>
      </w:r>
      <w:r w:rsidR="004C1AD7" w:rsidRPr="00130DA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A10C8" w:rsidRPr="00130DA9">
        <w:rPr>
          <w:rFonts w:ascii="Tahoma" w:hAnsi="Tahoma" w:cs="Tahoma"/>
          <w:color w:val="666666"/>
          <w:sz w:val="20"/>
          <w:szCs w:val="20"/>
        </w:rPr>
        <w:t>срочны</w:t>
      </w:r>
      <w:r w:rsidR="004C1AD7">
        <w:rPr>
          <w:rFonts w:ascii="Tahoma" w:hAnsi="Tahoma" w:cs="Tahoma"/>
          <w:color w:val="666666"/>
          <w:sz w:val="20"/>
          <w:szCs w:val="20"/>
        </w:rPr>
        <w:t>м</w:t>
      </w:r>
      <w:r w:rsidR="006A10C8" w:rsidRPr="00130DA9">
        <w:rPr>
          <w:rFonts w:ascii="Tahoma" w:hAnsi="Tahoma" w:cs="Tahoma"/>
          <w:color w:val="666666"/>
          <w:sz w:val="20"/>
          <w:szCs w:val="20"/>
        </w:rPr>
        <w:t xml:space="preserve"> депозит</w:t>
      </w:r>
      <w:r w:rsidR="004C1AD7">
        <w:rPr>
          <w:rFonts w:ascii="Tahoma" w:hAnsi="Tahoma" w:cs="Tahoma"/>
          <w:color w:val="666666"/>
          <w:sz w:val="20"/>
          <w:szCs w:val="20"/>
        </w:rPr>
        <w:t>ам</w:t>
      </w:r>
      <w:r w:rsidR="006A10C8" w:rsidRPr="00130DA9">
        <w:rPr>
          <w:rFonts w:ascii="Tahoma" w:hAnsi="Tahoma" w:cs="Tahoma"/>
          <w:color w:val="666666"/>
          <w:sz w:val="20"/>
          <w:szCs w:val="20"/>
        </w:rPr>
        <w:t xml:space="preserve"> корпоративных клиентов </w:t>
      </w:r>
      <w:r w:rsidR="00FE3920">
        <w:rPr>
          <w:rFonts w:ascii="Tahoma" w:hAnsi="Tahoma" w:cs="Tahoma"/>
          <w:color w:val="666666"/>
          <w:sz w:val="20"/>
          <w:szCs w:val="20"/>
        </w:rPr>
        <w:t xml:space="preserve">и </w:t>
      </w:r>
      <w:r w:rsidR="006A10C8" w:rsidRPr="00130DA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15EB4">
        <w:rPr>
          <w:rFonts w:ascii="Tahoma" w:hAnsi="Tahoma" w:cs="Tahoma"/>
          <w:color w:val="666666"/>
          <w:sz w:val="20"/>
          <w:szCs w:val="20"/>
        </w:rPr>
        <w:t>заимствовани</w:t>
      </w:r>
      <w:r w:rsidR="004C1AD7">
        <w:rPr>
          <w:rFonts w:ascii="Tahoma" w:hAnsi="Tahoma" w:cs="Tahoma"/>
          <w:color w:val="666666"/>
          <w:sz w:val="20"/>
          <w:szCs w:val="20"/>
        </w:rPr>
        <w:t>ям</w:t>
      </w:r>
      <w:r w:rsidR="00B15EB4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A10C8" w:rsidRPr="00130DA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D1286" w:rsidRPr="00130DA9">
        <w:rPr>
          <w:rFonts w:ascii="Tahoma" w:hAnsi="Tahoma" w:cs="Tahoma"/>
          <w:color w:val="666666"/>
          <w:sz w:val="20"/>
          <w:szCs w:val="20"/>
        </w:rPr>
        <w:t xml:space="preserve">от </w:t>
      </w:r>
      <w:r w:rsidR="00130DA9" w:rsidRPr="00130DA9">
        <w:rPr>
          <w:rFonts w:ascii="Tahoma" w:hAnsi="Tahoma" w:cs="Tahoma"/>
          <w:color w:val="666666"/>
          <w:sz w:val="20"/>
          <w:szCs w:val="20"/>
        </w:rPr>
        <w:t>Банка России</w:t>
      </w:r>
      <w:r w:rsidR="00130DA9" w:rsidRPr="008C4638">
        <w:rPr>
          <w:rFonts w:ascii="Tahoma" w:hAnsi="Tahoma" w:cs="Tahoma"/>
          <w:color w:val="666666"/>
          <w:sz w:val="20"/>
          <w:szCs w:val="20"/>
        </w:rPr>
        <w:t>.</w:t>
      </w:r>
      <w:r w:rsidR="004C1AD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1E76DC">
        <w:rPr>
          <w:rFonts w:ascii="Tahoma" w:hAnsi="Tahoma" w:cs="Tahoma"/>
          <w:color w:val="666666"/>
          <w:sz w:val="20"/>
          <w:szCs w:val="20"/>
        </w:rPr>
        <w:t>В</w:t>
      </w:r>
      <w:r w:rsidR="004C1AD7">
        <w:rPr>
          <w:rFonts w:ascii="Tahoma" w:hAnsi="Tahoma" w:cs="Tahoma"/>
          <w:color w:val="666666"/>
          <w:sz w:val="20"/>
          <w:szCs w:val="20"/>
        </w:rPr>
        <w:t>о втором квартале 2015 года</w:t>
      </w:r>
      <w:r w:rsidR="00FE3920">
        <w:rPr>
          <w:rFonts w:ascii="Tahoma" w:hAnsi="Tahoma" w:cs="Tahoma"/>
          <w:color w:val="666666"/>
          <w:sz w:val="20"/>
          <w:szCs w:val="20"/>
        </w:rPr>
        <w:t xml:space="preserve"> указанные</w:t>
      </w:r>
      <w:r w:rsidR="004C1AD7">
        <w:rPr>
          <w:rFonts w:ascii="Tahoma" w:hAnsi="Tahoma" w:cs="Tahoma"/>
          <w:color w:val="666666"/>
          <w:sz w:val="20"/>
          <w:szCs w:val="20"/>
        </w:rPr>
        <w:t xml:space="preserve"> расходы снизились на </w:t>
      </w:r>
      <w:r w:rsidR="00DD2DBE">
        <w:rPr>
          <w:rFonts w:ascii="Tahoma" w:hAnsi="Tahoma" w:cs="Tahoma"/>
          <w:color w:val="666666"/>
          <w:sz w:val="20"/>
          <w:szCs w:val="20"/>
        </w:rPr>
        <w:t>62,6 млрд. руб</w:t>
      </w:r>
      <w:r w:rsidR="001E76DC">
        <w:rPr>
          <w:rFonts w:ascii="Tahoma" w:hAnsi="Tahoma" w:cs="Tahoma"/>
          <w:color w:val="666666"/>
          <w:sz w:val="20"/>
          <w:szCs w:val="20"/>
        </w:rPr>
        <w:t xml:space="preserve">. по сравнению с </w:t>
      </w:r>
      <w:r w:rsidR="00DD5927">
        <w:rPr>
          <w:rFonts w:ascii="Tahoma" w:hAnsi="Tahoma" w:cs="Tahoma"/>
          <w:color w:val="666666"/>
          <w:sz w:val="20"/>
          <w:szCs w:val="20"/>
        </w:rPr>
        <w:t>первым</w:t>
      </w:r>
      <w:r w:rsidR="001E76DC">
        <w:rPr>
          <w:rFonts w:ascii="Tahoma" w:hAnsi="Tahoma" w:cs="Tahoma"/>
          <w:color w:val="666666"/>
          <w:sz w:val="20"/>
          <w:szCs w:val="20"/>
        </w:rPr>
        <w:t xml:space="preserve"> кварталом 2015 года</w:t>
      </w:r>
      <w:r w:rsidR="00DD2DBE">
        <w:rPr>
          <w:rFonts w:ascii="Tahoma" w:hAnsi="Tahoma" w:cs="Tahoma"/>
          <w:color w:val="666666"/>
          <w:sz w:val="20"/>
          <w:szCs w:val="20"/>
        </w:rPr>
        <w:t>.</w:t>
      </w:r>
      <w:r w:rsidR="00B00567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F2446C">
        <w:rPr>
          <w:rStyle w:val="a4"/>
          <w:rFonts w:ascii="Tahoma" w:hAnsi="Tahoma" w:cs="Tahoma"/>
          <w:color w:val="666666"/>
          <w:sz w:val="20"/>
          <w:szCs w:val="20"/>
        </w:rPr>
        <w:t>Чистые процентные доходы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за первое полугодие 2015 года сократились на 12,8% по сравнению с аналогичным периодом 2014 года и составили 427,4 млрд. руб. </w:t>
      </w:r>
      <w:r w:rsidR="00FE3920">
        <w:rPr>
          <w:rFonts w:ascii="Tahoma" w:hAnsi="Tahoma" w:cs="Tahoma"/>
          <w:color w:val="666666"/>
          <w:sz w:val="20"/>
          <w:szCs w:val="20"/>
        </w:rPr>
        <w:t>С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нижение вызвано </w:t>
      </w:r>
      <w:r w:rsidR="00FE3920">
        <w:rPr>
          <w:rFonts w:ascii="Tahoma" w:hAnsi="Tahoma" w:cs="Tahoma"/>
          <w:color w:val="666666"/>
          <w:sz w:val="20"/>
          <w:szCs w:val="20"/>
        </w:rPr>
        <w:t xml:space="preserve">опережающим </w:t>
      </w:r>
      <w:r w:rsidRPr="00F2446C">
        <w:rPr>
          <w:rFonts w:ascii="Tahoma" w:hAnsi="Tahoma" w:cs="Tahoma"/>
          <w:color w:val="666666"/>
          <w:sz w:val="20"/>
          <w:szCs w:val="20"/>
        </w:rPr>
        <w:t>ростом процентных расходов</w:t>
      </w:r>
      <w:r w:rsidR="00FE3920">
        <w:rPr>
          <w:rFonts w:ascii="Tahoma" w:hAnsi="Tahoma" w:cs="Tahoma"/>
          <w:color w:val="666666"/>
          <w:sz w:val="20"/>
          <w:szCs w:val="20"/>
        </w:rPr>
        <w:t xml:space="preserve"> над доходами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вследствие резкого роста стоимости фондирования. В течение </w:t>
      </w:r>
      <w:r w:rsidR="002A3B6C">
        <w:rPr>
          <w:rFonts w:ascii="Tahoma" w:hAnsi="Tahoma" w:cs="Tahoma"/>
          <w:color w:val="666666"/>
          <w:sz w:val="20"/>
          <w:szCs w:val="20"/>
        </w:rPr>
        <w:t>второго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квартала 2015 года </w:t>
      </w:r>
      <w:r w:rsidRPr="00151D2C">
        <w:rPr>
          <w:rFonts w:ascii="Tahoma" w:hAnsi="Tahoma" w:cs="Tahoma"/>
          <w:color w:val="666666"/>
          <w:sz w:val="20"/>
          <w:szCs w:val="20"/>
        </w:rPr>
        <w:t>чист</w:t>
      </w:r>
      <w:r w:rsidR="00FE3920" w:rsidRPr="00151D2C">
        <w:rPr>
          <w:rFonts w:ascii="Tahoma" w:hAnsi="Tahoma" w:cs="Tahoma"/>
          <w:color w:val="666666"/>
          <w:sz w:val="20"/>
          <w:szCs w:val="20"/>
        </w:rPr>
        <w:t>ые</w:t>
      </w:r>
      <w:r w:rsidR="006B5A91" w:rsidRPr="00151D2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151D2C">
        <w:rPr>
          <w:rFonts w:ascii="Tahoma" w:hAnsi="Tahoma" w:cs="Tahoma"/>
          <w:color w:val="666666"/>
          <w:sz w:val="20"/>
          <w:szCs w:val="20"/>
        </w:rPr>
        <w:t>процентн</w:t>
      </w:r>
      <w:r w:rsidR="00FE3920" w:rsidRPr="00151D2C">
        <w:rPr>
          <w:rFonts w:ascii="Tahoma" w:hAnsi="Tahoma" w:cs="Tahoma"/>
          <w:color w:val="666666"/>
          <w:sz w:val="20"/>
          <w:szCs w:val="20"/>
        </w:rPr>
        <w:t>ые</w:t>
      </w:r>
      <w:r w:rsidRPr="00151D2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B5A91" w:rsidRPr="00151D2C">
        <w:rPr>
          <w:rFonts w:ascii="Tahoma" w:hAnsi="Tahoma" w:cs="Tahoma"/>
          <w:color w:val="666666"/>
          <w:sz w:val="20"/>
          <w:szCs w:val="20"/>
        </w:rPr>
        <w:t>доход</w:t>
      </w:r>
      <w:r w:rsidR="00FE3920" w:rsidRPr="00151D2C">
        <w:rPr>
          <w:rFonts w:ascii="Tahoma" w:hAnsi="Tahoma" w:cs="Tahoma"/>
          <w:color w:val="666666"/>
          <w:sz w:val="20"/>
          <w:szCs w:val="20"/>
        </w:rPr>
        <w:t>ы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B5A91">
        <w:rPr>
          <w:rFonts w:ascii="Tahoma" w:hAnsi="Tahoma" w:cs="Tahoma"/>
          <w:color w:val="666666"/>
          <w:sz w:val="20"/>
          <w:szCs w:val="20"/>
        </w:rPr>
        <w:t>увеличил</w:t>
      </w:r>
      <w:r w:rsidR="00FE3920">
        <w:rPr>
          <w:rFonts w:ascii="Tahoma" w:hAnsi="Tahoma" w:cs="Tahoma"/>
          <w:color w:val="666666"/>
          <w:sz w:val="20"/>
          <w:szCs w:val="20"/>
        </w:rPr>
        <w:t>ись</w:t>
      </w:r>
      <w:r w:rsidR="006B5A91">
        <w:rPr>
          <w:rFonts w:ascii="Tahoma" w:hAnsi="Tahoma" w:cs="Tahoma"/>
          <w:color w:val="666666"/>
          <w:sz w:val="20"/>
          <w:szCs w:val="20"/>
        </w:rPr>
        <w:t xml:space="preserve"> на 13,4%</w:t>
      </w:r>
      <w:r w:rsidR="002A3B6C">
        <w:rPr>
          <w:rFonts w:ascii="Tahoma" w:hAnsi="Tahoma" w:cs="Tahoma"/>
          <w:color w:val="666666"/>
          <w:sz w:val="20"/>
          <w:szCs w:val="20"/>
        </w:rPr>
        <w:t xml:space="preserve"> по сравнению с первым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кварталом 2015 года. 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F2446C">
        <w:rPr>
          <w:rFonts w:ascii="Tahoma" w:hAnsi="Tahoma" w:cs="Tahoma"/>
          <w:b/>
          <w:color w:val="666666"/>
          <w:sz w:val="20"/>
          <w:szCs w:val="20"/>
        </w:rPr>
        <w:t>Чистые комиссионные доходы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Группы за первое полугодие 2015 года увеличились на 17,3% по сравнению с аналогичным периодом 2014 года, составив 146,8 млрд. руб. Ключевыми источниками роста стали комиссионные доходы от расчётно-кассового обслуживания физических и юридических лиц и доходы по </w:t>
      </w:r>
      <w:proofErr w:type="spellStart"/>
      <w:r w:rsidRPr="00F2446C">
        <w:rPr>
          <w:rFonts w:ascii="Tahoma" w:hAnsi="Tahoma" w:cs="Tahoma"/>
          <w:color w:val="666666"/>
          <w:sz w:val="20"/>
          <w:szCs w:val="20"/>
        </w:rPr>
        <w:t>эквайрингу</w:t>
      </w:r>
      <w:proofErr w:type="spellEnd"/>
      <w:r w:rsidRPr="00F2446C">
        <w:rPr>
          <w:rFonts w:ascii="Tahoma" w:hAnsi="Tahoma" w:cs="Tahoma"/>
          <w:color w:val="666666"/>
          <w:sz w:val="20"/>
          <w:szCs w:val="20"/>
        </w:rPr>
        <w:t>, а также комиссионные доходы от операций с иностранной валютой.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F2446C">
        <w:rPr>
          <w:rStyle w:val="a4"/>
          <w:rFonts w:ascii="Tahoma" w:hAnsi="Tahoma" w:cs="Tahoma"/>
          <w:color w:val="666666"/>
          <w:sz w:val="20"/>
          <w:szCs w:val="20"/>
        </w:rPr>
        <w:t xml:space="preserve">Операционные доходы до расходов по созданию резерва под обесценение долговых финансовых активов </w:t>
      </w:r>
      <w:r w:rsidRPr="00F2446C">
        <w:rPr>
          <w:rFonts w:ascii="Tahoma" w:hAnsi="Tahoma" w:cs="Tahoma"/>
          <w:color w:val="666666"/>
          <w:sz w:val="20"/>
          <w:szCs w:val="20"/>
        </w:rPr>
        <w:t>за первое полугодие 2015 года составили 643,7 млрд. руб., показав рост на 3,6% по сравнению с 621,1 млрд. руб. за первое полугодие 2014 года.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Style w:val="a4"/>
          <w:rFonts w:ascii="Tahoma" w:hAnsi="Tahoma" w:cs="Tahoma"/>
          <w:color w:val="666666"/>
          <w:sz w:val="20"/>
          <w:szCs w:val="20"/>
        </w:rPr>
      </w:pPr>
      <w:r w:rsidRPr="00F2446C">
        <w:rPr>
          <w:rStyle w:val="a4"/>
          <w:rFonts w:ascii="Tahoma" w:hAnsi="Tahoma" w:cs="Tahoma"/>
          <w:color w:val="666666"/>
          <w:sz w:val="20"/>
          <w:szCs w:val="20"/>
        </w:rPr>
        <w:t xml:space="preserve">Чистые расходы </w:t>
      </w:r>
      <w:r w:rsidR="00151D2C">
        <w:rPr>
          <w:rStyle w:val="a4"/>
          <w:rFonts w:ascii="Tahoma" w:hAnsi="Tahoma" w:cs="Tahoma"/>
          <w:color w:val="666666"/>
          <w:sz w:val="20"/>
          <w:szCs w:val="20"/>
        </w:rPr>
        <w:t>по</w:t>
      </w:r>
      <w:r w:rsidRPr="00F2446C">
        <w:rPr>
          <w:rStyle w:val="a4"/>
          <w:rFonts w:ascii="Tahoma" w:hAnsi="Tahoma" w:cs="Tahoma"/>
          <w:color w:val="666666"/>
          <w:sz w:val="20"/>
          <w:szCs w:val="20"/>
        </w:rPr>
        <w:t xml:space="preserve"> создани</w:t>
      </w:r>
      <w:r w:rsidR="00151D2C">
        <w:rPr>
          <w:rStyle w:val="a4"/>
          <w:rFonts w:ascii="Tahoma" w:hAnsi="Tahoma" w:cs="Tahoma"/>
          <w:color w:val="666666"/>
          <w:sz w:val="20"/>
          <w:szCs w:val="20"/>
        </w:rPr>
        <w:t>ю</w:t>
      </w:r>
      <w:r w:rsidRPr="00F2446C">
        <w:rPr>
          <w:rStyle w:val="a4"/>
          <w:rFonts w:ascii="Tahoma" w:hAnsi="Tahoma" w:cs="Tahoma"/>
          <w:color w:val="666666"/>
          <w:sz w:val="20"/>
          <w:szCs w:val="20"/>
        </w:rPr>
        <w:t xml:space="preserve"> резерва под обесценение кредитного портфеля </w:t>
      </w:r>
      <w:r w:rsidRPr="00F2446C">
        <w:rPr>
          <w:rFonts w:ascii="Tahoma" w:hAnsi="Tahoma" w:cs="Tahoma"/>
          <w:color w:val="666666"/>
          <w:sz w:val="20"/>
          <w:szCs w:val="20"/>
        </w:rPr>
        <w:t>за первое полугодие 2015 года составили 232,4 млрд. руб. в сравнении со 150,9 млрд. руб. за аналогичный период</w:t>
      </w:r>
      <w:r w:rsidRPr="00F2446C" w:rsidDel="00941B7D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2014 года, что соответствует стоимости кредитного риска в размере 250 базисных пунктов против 210 базисных пунктов за первое полугодие 2014 года. Основными причинами роста расходов </w:t>
      </w:r>
      <w:r w:rsidR="00151D2C">
        <w:rPr>
          <w:rFonts w:ascii="Tahoma" w:hAnsi="Tahoma" w:cs="Tahoma"/>
          <w:color w:val="666666"/>
          <w:sz w:val="20"/>
          <w:szCs w:val="20"/>
        </w:rPr>
        <w:t>по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создани</w:t>
      </w:r>
      <w:r w:rsidR="00151D2C">
        <w:rPr>
          <w:rFonts w:ascii="Tahoma" w:hAnsi="Tahoma" w:cs="Tahoma"/>
          <w:color w:val="666666"/>
          <w:sz w:val="20"/>
          <w:szCs w:val="20"/>
        </w:rPr>
        <w:t>ю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резерва стали общее ухудшение качества кредитного портфеля на фоне замедления российской экономики и создание резервов по ссудам украинским заемщикам вследствие дальнейшего ухудшения состояния экономики Украины.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F2446C">
        <w:rPr>
          <w:rStyle w:val="a4"/>
          <w:rFonts w:ascii="Tahoma" w:hAnsi="Tahoma" w:cs="Tahoma"/>
          <w:color w:val="666666"/>
          <w:sz w:val="20"/>
          <w:szCs w:val="20"/>
        </w:rPr>
        <w:t xml:space="preserve">Операционные расходы 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Группы за первое полугодие 2015 года выросли на 12,4% в сравнении с аналогичным периодом прошлого года и составили 286,3 млрд. руб. Рост операционных расходов объясняется </w:t>
      </w:r>
      <w:r w:rsidR="00AA4195">
        <w:rPr>
          <w:rFonts w:ascii="Tahoma" w:hAnsi="Tahoma" w:cs="Tahoma"/>
          <w:color w:val="666666"/>
          <w:sz w:val="20"/>
          <w:szCs w:val="20"/>
        </w:rPr>
        <w:t xml:space="preserve">в первую очередь 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увеличением </w:t>
      </w:r>
      <w:r w:rsidR="00AA4195">
        <w:rPr>
          <w:rFonts w:ascii="Tahoma" w:hAnsi="Tahoma" w:cs="Tahoma"/>
          <w:color w:val="666666"/>
          <w:sz w:val="20"/>
          <w:szCs w:val="20"/>
        </w:rPr>
        <w:t xml:space="preserve">рублевого эквивалента 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операционных расходов в зарубежных дочерних </w:t>
      </w:r>
      <w:r w:rsidR="00AA4195">
        <w:rPr>
          <w:rFonts w:ascii="Tahoma" w:hAnsi="Tahoma" w:cs="Tahoma"/>
          <w:color w:val="666666"/>
          <w:sz w:val="20"/>
          <w:szCs w:val="20"/>
        </w:rPr>
        <w:t>организациях</w:t>
      </w:r>
      <w:r w:rsidRPr="00F2446C">
        <w:rPr>
          <w:rFonts w:ascii="Tahoma" w:hAnsi="Tahoma" w:cs="Tahoma"/>
          <w:color w:val="666666"/>
          <w:sz w:val="20"/>
          <w:szCs w:val="20"/>
        </w:rPr>
        <w:t>.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F2446C">
        <w:rPr>
          <w:rFonts w:ascii="Tahoma" w:hAnsi="Tahoma" w:cs="Tahoma"/>
          <w:b/>
          <w:color w:val="666666"/>
          <w:sz w:val="20"/>
          <w:szCs w:val="20"/>
        </w:rPr>
        <w:t xml:space="preserve">Чистая </w:t>
      </w:r>
      <w:r w:rsidRPr="00E73EF8">
        <w:rPr>
          <w:rFonts w:ascii="Tahoma" w:hAnsi="Tahoma" w:cs="Tahoma"/>
          <w:b/>
          <w:color w:val="666666"/>
          <w:sz w:val="20"/>
          <w:szCs w:val="20"/>
        </w:rPr>
        <w:t>прибыль Группы за первое полугодие 2015 года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составила 85,2 млрд. руб</w:t>
      </w:r>
      <w:r w:rsidR="00DD2DBE">
        <w:rPr>
          <w:rFonts w:ascii="Tahoma" w:hAnsi="Tahoma" w:cs="Tahoma"/>
          <w:color w:val="666666"/>
          <w:sz w:val="20"/>
          <w:szCs w:val="20"/>
        </w:rPr>
        <w:t>.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, снизившись на </w:t>
      </w:r>
      <w:r w:rsidR="00AA4195">
        <w:rPr>
          <w:rFonts w:ascii="Tahoma" w:hAnsi="Tahoma" w:cs="Tahoma"/>
          <w:color w:val="666666"/>
          <w:sz w:val="20"/>
          <w:szCs w:val="20"/>
        </w:rPr>
        <w:t>85,2 млрд. руб</w:t>
      </w:r>
      <w:r w:rsidR="00DD2DBE">
        <w:rPr>
          <w:rFonts w:ascii="Tahoma" w:hAnsi="Tahoma" w:cs="Tahoma"/>
          <w:color w:val="666666"/>
          <w:sz w:val="20"/>
          <w:szCs w:val="20"/>
        </w:rPr>
        <w:t>.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по сравнению с чистой прибылью за первое полугодие</w:t>
      </w:r>
      <w:r w:rsidRPr="00F2446C" w:rsidDel="00941B7D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2014 года в размере 170,4 млрд. руб. </w:t>
      </w:r>
      <w:r w:rsidR="00151D2C">
        <w:rPr>
          <w:rFonts w:ascii="Tahoma" w:hAnsi="Tahoma" w:cs="Tahoma"/>
          <w:color w:val="666666"/>
          <w:sz w:val="20"/>
          <w:szCs w:val="20"/>
        </w:rPr>
        <w:t>Данное с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нижение объясняется, главным образом, </w:t>
      </w:r>
      <w:r w:rsidR="003B2FC3">
        <w:rPr>
          <w:rFonts w:ascii="Tahoma" w:hAnsi="Tahoma" w:cs="Tahoma"/>
          <w:color w:val="666666"/>
          <w:sz w:val="20"/>
          <w:szCs w:val="20"/>
        </w:rPr>
        <w:t xml:space="preserve">динамикой чистых процентных доходов </w:t>
      </w:r>
      <w:r w:rsidRPr="00F2446C">
        <w:rPr>
          <w:rFonts w:ascii="Tahoma" w:hAnsi="Tahoma" w:cs="Tahoma"/>
          <w:color w:val="666666"/>
          <w:sz w:val="20"/>
          <w:szCs w:val="20"/>
        </w:rPr>
        <w:t>и увеличением расходов по созданию резервов под обесценение кредитного портфеля</w:t>
      </w:r>
      <w:r w:rsidR="00AA4195">
        <w:rPr>
          <w:rFonts w:ascii="Tahoma" w:hAnsi="Tahoma" w:cs="Tahoma"/>
          <w:color w:val="666666"/>
          <w:sz w:val="20"/>
          <w:szCs w:val="20"/>
        </w:rPr>
        <w:t xml:space="preserve"> на 81,5 млрд. руб</w:t>
      </w:r>
      <w:r w:rsidR="00DD2DBE">
        <w:rPr>
          <w:rFonts w:ascii="Tahoma" w:hAnsi="Tahoma" w:cs="Tahoma"/>
          <w:color w:val="666666"/>
          <w:sz w:val="20"/>
          <w:szCs w:val="20"/>
        </w:rPr>
        <w:t>.</w:t>
      </w:r>
      <w:r w:rsidR="00AA4195">
        <w:rPr>
          <w:rFonts w:ascii="Tahoma" w:hAnsi="Tahoma" w:cs="Tahoma"/>
          <w:color w:val="666666"/>
          <w:sz w:val="20"/>
          <w:szCs w:val="20"/>
        </w:rPr>
        <w:t xml:space="preserve"> по сравнению с первым полугодием 2014 года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. </w:t>
      </w:r>
      <w:r w:rsidRPr="00F2446C">
        <w:rPr>
          <w:rFonts w:ascii="Tahoma" w:hAnsi="Tahoma" w:cs="Tahoma"/>
          <w:b/>
          <w:color w:val="666666"/>
          <w:sz w:val="20"/>
          <w:szCs w:val="20"/>
        </w:rPr>
        <w:t>Чистая прибыль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E73EF8">
        <w:rPr>
          <w:rFonts w:ascii="Tahoma" w:hAnsi="Tahoma" w:cs="Tahoma"/>
          <w:b/>
          <w:color w:val="666666"/>
          <w:sz w:val="20"/>
          <w:szCs w:val="20"/>
        </w:rPr>
        <w:t xml:space="preserve">Группы за </w:t>
      </w:r>
      <w:r w:rsidR="002A3B6C" w:rsidRPr="00E73EF8">
        <w:rPr>
          <w:rFonts w:ascii="Tahoma" w:hAnsi="Tahoma" w:cs="Tahoma"/>
          <w:b/>
          <w:color w:val="666666"/>
          <w:sz w:val="20"/>
          <w:szCs w:val="20"/>
        </w:rPr>
        <w:t>второй</w:t>
      </w:r>
      <w:r w:rsidRPr="00E73EF8">
        <w:rPr>
          <w:rFonts w:ascii="Tahoma" w:hAnsi="Tahoma" w:cs="Tahoma"/>
          <w:b/>
          <w:color w:val="666666"/>
          <w:sz w:val="20"/>
          <w:szCs w:val="20"/>
        </w:rPr>
        <w:t xml:space="preserve"> квартал 2015 года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составила </w:t>
      </w:r>
      <w:r w:rsidRPr="00E73EF8">
        <w:rPr>
          <w:rFonts w:ascii="Tahoma" w:hAnsi="Tahoma" w:cs="Tahoma"/>
          <w:color w:val="666666"/>
          <w:sz w:val="20"/>
          <w:szCs w:val="20"/>
        </w:rPr>
        <w:t>54,6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="00DD2DBE">
        <w:rPr>
          <w:rFonts w:ascii="Tahoma" w:hAnsi="Tahoma" w:cs="Tahoma"/>
          <w:color w:val="666666"/>
          <w:sz w:val="20"/>
          <w:szCs w:val="20"/>
        </w:rPr>
        <w:t>.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, увеличившись на 78,4% по сравнению с чистой прибылью за </w:t>
      </w:r>
      <w:r w:rsidR="002A3B6C">
        <w:rPr>
          <w:rFonts w:ascii="Tahoma" w:hAnsi="Tahoma" w:cs="Tahoma"/>
          <w:color w:val="666666"/>
          <w:sz w:val="20"/>
          <w:szCs w:val="20"/>
        </w:rPr>
        <w:t>первый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квартал</w:t>
      </w:r>
      <w:r w:rsidRPr="00F2446C" w:rsidDel="00941B7D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2015 года в размере 30,6 млрд. руб., главным образом, </w:t>
      </w:r>
      <w:r w:rsidR="003B2FC3">
        <w:rPr>
          <w:rFonts w:ascii="Tahoma" w:hAnsi="Tahoma" w:cs="Tahoma"/>
          <w:color w:val="666666"/>
          <w:sz w:val="20"/>
          <w:szCs w:val="20"/>
        </w:rPr>
        <w:t xml:space="preserve">вследствие </w:t>
      </w:r>
      <w:r w:rsidRPr="00F2446C">
        <w:rPr>
          <w:rFonts w:ascii="Tahoma" w:hAnsi="Tahoma" w:cs="Tahoma"/>
          <w:color w:val="666666"/>
          <w:sz w:val="20"/>
          <w:szCs w:val="20"/>
        </w:rPr>
        <w:t>снижени</w:t>
      </w:r>
      <w:r w:rsidR="003B2FC3">
        <w:rPr>
          <w:rFonts w:ascii="Tahoma" w:hAnsi="Tahoma" w:cs="Tahoma"/>
          <w:color w:val="666666"/>
          <w:sz w:val="20"/>
          <w:szCs w:val="20"/>
        </w:rPr>
        <w:t>я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стоимости привлечения </w:t>
      </w:r>
      <w:r w:rsidR="00267CD2">
        <w:rPr>
          <w:rFonts w:ascii="Tahoma" w:hAnsi="Tahoma" w:cs="Tahoma"/>
          <w:color w:val="666666"/>
          <w:sz w:val="20"/>
          <w:szCs w:val="20"/>
        </w:rPr>
        <w:t>ресурсов</w:t>
      </w:r>
      <w:r w:rsidRPr="00F2446C">
        <w:rPr>
          <w:rFonts w:ascii="Tahoma" w:hAnsi="Tahoma" w:cs="Tahoma"/>
          <w:color w:val="666666"/>
          <w:sz w:val="20"/>
          <w:szCs w:val="20"/>
        </w:rPr>
        <w:t>.</w:t>
      </w:r>
    </w:p>
    <w:p w:rsidR="001A3CF8" w:rsidRDefault="001A3CF8" w:rsidP="00D16280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2A3B6C">
        <w:rPr>
          <w:rFonts w:ascii="Tahoma" w:hAnsi="Tahoma" w:cs="Tahoma"/>
          <w:b/>
          <w:color w:val="666666"/>
          <w:sz w:val="20"/>
          <w:szCs w:val="20"/>
        </w:rPr>
        <w:t>Совокупный доход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за </w:t>
      </w:r>
      <w:r w:rsidR="004E3F75">
        <w:rPr>
          <w:rFonts w:ascii="Tahoma" w:hAnsi="Tahoma" w:cs="Tahoma"/>
          <w:color w:val="666666"/>
          <w:sz w:val="20"/>
          <w:szCs w:val="20"/>
        </w:rPr>
        <w:t>первое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полугодие 2015 года сохрани</w:t>
      </w:r>
      <w:r>
        <w:rPr>
          <w:rFonts w:ascii="Tahoma" w:hAnsi="Tahoma" w:cs="Tahoma"/>
          <w:color w:val="666666"/>
          <w:sz w:val="20"/>
          <w:szCs w:val="20"/>
        </w:rPr>
        <w:t>лся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на уровне </w:t>
      </w:r>
      <w:r w:rsidR="004E3F75">
        <w:rPr>
          <w:rFonts w:ascii="Tahoma" w:hAnsi="Tahoma" w:cs="Tahoma"/>
          <w:color w:val="666666"/>
          <w:sz w:val="20"/>
          <w:szCs w:val="20"/>
        </w:rPr>
        <w:t>первого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полугодия 2014 года </w:t>
      </w:r>
      <w:r>
        <w:rPr>
          <w:rFonts w:ascii="Tahoma" w:hAnsi="Tahoma" w:cs="Tahoma"/>
          <w:color w:val="666666"/>
          <w:sz w:val="20"/>
          <w:szCs w:val="20"/>
        </w:rPr>
        <w:t xml:space="preserve">и 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составил </w:t>
      </w:r>
      <w:r w:rsidRPr="00E73EF8">
        <w:rPr>
          <w:rFonts w:ascii="Tahoma" w:hAnsi="Tahoma" w:cs="Tahoma"/>
          <w:color w:val="666666"/>
          <w:sz w:val="20"/>
          <w:szCs w:val="20"/>
        </w:rPr>
        <w:t>152,1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="00DD2DBE">
        <w:rPr>
          <w:rFonts w:ascii="Tahoma" w:hAnsi="Tahoma" w:cs="Tahoma"/>
          <w:color w:val="666666"/>
          <w:sz w:val="20"/>
          <w:szCs w:val="20"/>
        </w:rPr>
        <w:t>.</w:t>
      </w:r>
      <w:r>
        <w:rPr>
          <w:rFonts w:ascii="Tahoma" w:hAnsi="Tahoma" w:cs="Tahoma"/>
          <w:color w:val="666666"/>
          <w:sz w:val="20"/>
          <w:szCs w:val="20"/>
        </w:rPr>
        <w:t xml:space="preserve"> против</w:t>
      </w:r>
      <w:r w:rsidRPr="002A3B6C">
        <w:rPr>
          <w:rFonts w:ascii="Tahoma" w:hAnsi="Tahoma" w:cs="Tahoma"/>
          <w:color w:val="666666"/>
          <w:sz w:val="20"/>
          <w:szCs w:val="20"/>
        </w:rPr>
        <w:t xml:space="preserve"> 149,4 млрд. руб</w:t>
      </w:r>
      <w:r w:rsidR="00DD2DBE">
        <w:rPr>
          <w:rFonts w:ascii="Tahoma" w:hAnsi="Tahoma" w:cs="Tahoma"/>
          <w:color w:val="666666"/>
          <w:sz w:val="20"/>
          <w:szCs w:val="20"/>
        </w:rPr>
        <w:t>.</w:t>
      </w:r>
      <w:r w:rsidRPr="002A3B6C">
        <w:rPr>
          <w:rFonts w:ascii="Tahoma" w:hAnsi="Tahoma" w:cs="Tahoma"/>
          <w:color w:val="666666"/>
          <w:sz w:val="20"/>
          <w:szCs w:val="20"/>
        </w:rPr>
        <w:t>, в основном за счет положительной переоценки портфеля инвестиционных ценных бумаг, имеющихся в наличии для продажи.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F2446C">
        <w:rPr>
          <w:rFonts w:ascii="Tahoma" w:hAnsi="Tahoma" w:cs="Tahoma"/>
          <w:color w:val="666666"/>
          <w:sz w:val="20"/>
          <w:szCs w:val="20"/>
        </w:rPr>
        <w:t xml:space="preserve">30 июня 2015 года </w:t>
      </w:r>
      <w:r w:rsidRPr="00F2446C">
        <w:rPr>
          <w:rFonts w:ascii="Tahoma" w:hAnsi="Tahoma" w:cs="Tahoma"/>
          <w:b/>
          <w:color w:val="666666"/>
          <w:sz w:val="20"/>
          <w:szCs w:val="20"/>
        </w:rPr>
        <w:t>общий объем активов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Группы достиг 23 657,0 млрд. руб., снизившись на 6,1% по сравнению с 31 декабря 2014 года.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Style w:val="a4"/>
          <w:rFonts w:ascii="Tahoma" w:hAnsi="Tahoma" w:cs="Tahoma"/>
          <w:b w:val="0"/>
          <w:color w:val="666666"/>
          <w:sz w:val="20"/>
          <w:szCs w:val="20"/>
        </w:rPr>
      </w:pPr>
      <w:r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>В первом полугодии 2015 года</w:t>
      </w:r>
      <w:r w:rsidRPr="00F2446C">
        <w:rPr>
          <w:rStyle w:val="a4"/>
          <w:rFonts w:ascii="Tahoma" w:hAnsi="Tahoma" w:cs="Tahoma"/>
          <w:color w:val="666666"/>
          <w:sz w:val="20"/>
          <w:szCs w:val="20"/>
        </w:rPr>
        <w:t xml:space="preserve"> портфель кредитов клиентам до вычета резерва под обесценение </w:t>
      </w:r>
      <w:r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>кредитного портфеля сократился на 4,5%. Кредиты корпоративным клиентам до вычета резервов снизились на 5,5% до 13 019,4 млрд. руб</w:t>
      </w:r>
      <w:r w:rsidR="00DD2DBE">
        <w:rPr>
          <w:rStyle w:val="a4"/>
          <w:rFonts w:ascii="Tahoma" w:hAnsi="Tahoma" w:cs="Tahoma"/>
          <w:b w:val="0"/>
          <w:color w:val="666666"/>
          <w:sz w:val="20"/>
          <w:szCs w:val="20"/>
        </w:rPr>
        <w:t>.</w:t>
      </w:r>
      <w:r w:rsidR="00267CD2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из-за снижения качественного платежеспособного спроса;</w:t>
      </w:r>
      <w:r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1065C0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общий объем </w:t>
      </w:r>
      <w:r w:rsidR="001065C0"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кредитов физическим лицам </w:t>
      </w:r>
      <w:r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сократился </w:t>
      </w:r>
      <w:r w:rsidR="001065C0"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в первом полугодии 2015 года </w:t>
      </w:r>
      <w:r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>на 1,8% и составил 4</w:t>
      </w:r>
      <w:r w:rsidRPr="00F2446C">
        <w:rPr>
          <w:rStyle w:val="a4"/>
          <w:rFonts w:ascii="Tahoma" w:hAnsi="Tahoma" w:cs="Tahoma"/>
          <w:b w:val="0"/>
          <w:color w:val="666666"/>
          <w:sz w:val="20"/>
          <w:szCs w:val="20"/>
          <w:lang w:val="en-US"/>
        </w:rPr>
        <w:t> </w:t>
      </w:r>
      <w:r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>761,6 млрд. руб</w:t>
      </w:r>
      <w:r w:rsidRPr="00F2446C">
        <w:rPr>
          <w:rFonts w:ascii="Tahoma" w:hAnsi="Tahoma" w:cs="Tahoma"/>
          <w:color w:val="666666"/>
          <w:sz w:val="20"/>
          <w:szCs w:val="20"/>
        </w:rPr>
        <w:t>.</w:t>
      </w:r>
      <w:r w:rsidR="003B2FC3">
        <w:rPr>
          <w:rFonts w:ascii="Tahoma" w:hAnsi="Tahoma" w:cs="Tahoma"/>
          <w:color w:val="666666"/>
          <w:sz w:val="20"/>
          <w:szCs w:val="20"/>
        </w:rPr>
        <w:t xml:space="preserve">, при этом </w:t>
      </w:r>
      <w:r w:rsidR="003B2FC3">
        <w:rPr>
          <w:rStyle w:val="a4"/>
          <w:rFonts w:ascii="Tahoma" w:hAnsi="Tahoma" w:cs="Tahoma"/>
          <w:b w:val="0"/>
          <w:color w:val="666666"/>
          <w:sz w:val="20"/>
          <w:szCs w:val="20"/>
        </w:rPr>
        <w:t>объем ипотечных кредитов увеличился</w:t>
      </w:r>
      <w:r w:rsidR="003B2FC3"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3B2FC3">
        <w:rPr>
          <w:rStyle w:val="a4"/>
          <w:rFonts w:ascii="Tahoma" w:hAnsi="Tahoma" w:cs="Tahoma"/>
          <w:b w:val="0"/>
          <w:color w:val="666666"/>
          <w:sz w:val="20"/>
          <w:szCs w:val="20"/>
        </w:rPr>
        <w:t>на 4,8%,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Style w:val="a4"/>
          <w:rFonts w:ascii="Tahoma" w:hAnsi="Tahoma" w:cs="Tahoma"/>
          <w:b w:val="0"/>
          <w:color w:val="666666"/>
          <w:sz w:val="20"/>
          <w:szCs w:val="20"/>
        </w:rPr>
      </w:pPr>
      <w:r w:rsidRPr="00E73EF8">
        <w:rPr>
          <w:rStyle w:val="a4"/>
          <w:rFonts w:ascii="Tahoma" w:hAnsi="Tahoma" w:cs="Tahoma"/>
          <w:color w:val="666666"/>
          <w:sz w:val="20"/>
          <w:szCs w:val="20"/>
        </w:rPr>
        <w:t>Доля неработающих кредитов (</w:t>
      </w:r>
      <w:r w:rsidRPr="00E73EF8">
        <w:rPr>
          <w:rStyle w:val="a4"/>
          <w:rFonts w:ascii="Tahoma" w:hAnsi="Tahoma" w:cs="Tahoma"/>
          <w:color w:val="666666"/>
          <w:sz w:val="20"/>
          <w:szCs w:val="20"/>
          <w:lang w:val="en-US"/>
        </w:rPr>
        <w:t>NPL</w:t>
      </w:r>
      <w:r w:rsidRPr="00E73EF8">
        <w:rPr>
          <w:rStyle w:val="a4"/>
          <w:rFonts w:ascii="Tahoma" w:hAnsi="Tahoma" w:cs="Tahoma"/>
          <w:color w:val="666666"/>
          <w:sz w:val="20"/>
          <w:szCs w:val="20"/>
        </w:rPr>
        <w:t>)</w:t>
      </w:r>
      <w:r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, состоящих из кредитов с просроченными платежами по основному долгу или процентам более чем на 90 дней, в общем кредитном портфеле </w:t>
      </w:r>
      <w:r w:rsidRPr="00F2446C">
        <w:rPr>
          <w:rFonts w:ascii="Tahoma" w:hAnsi="Tahoma" w:cs="Tahoma"/>
          <w:color w:val="666666"/>
          <w:sz w:val="20"/>
          <w:szCs w:val="20"/>
        </w:rPr>
        <w:t>увеличилась до 4,9% по состоянию на 30 июня 2015 года, по сравнению с 3,2% на конец 2014 года</w:t>
      </w:r>
      <w:r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>. Отношение резерва под обесценение кредитного портфеля к неработающим кредитам (совокупный объ</w:t>
      </w:r>
      <w:r w:rsidR="00620F4F"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>ё</w:t>
      </w:r>
      <w:r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>м резерва под обесценение кредитного портфеля к объему неработающих кредитов) сократилось в течение первого полугодия 2015 года до уровня 1,2</w:t>
      </w:r>
      <w:r w:rsidR="001065C0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раза в связи с </w:t>
      </w:r>
      <w:r w:rsidR="003B2FC3">
        <w:rPr>
          <w:rStyle w:val="a4"/>
          <w:rFonts w:ascii="Tahoma" w:hAnsi="Tahoma" w:cs="Tahoma"/>
          <w:b w:val="0"/>
          <w:color w:val="666666"/>
          <w:sz w:val="20"/>
          <w:szCs w:val="20"/>
        </w:rPr>
        <w:t>отражением</w:t>
      </w:r>
      <w:r w:rsidR="001065C0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в составе </w:t>
      </w:r>
      <w:r w:rsidR="000708FC">
        <w:rPr>
          <w:rStyle w:val="a4"/>
          <w:rFonts w:ascii="Tahoma" w:hAnsi="Tahoma" w:cs="Tahoma"/>
          <w:b w:val="0"/>
          <w:color w:val="666666"/>
          <w:sz w:val="20"/>
          <w:szCs w:val="20"/>
          <w:lang w:val="en-TT"/>
        </w:rPr>
        <w:t>NPL</w:t>
      </w:r>
      <w:r w:rsidR="001065C0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кредитов, резервы под обесценение которых были </w:t>
      </w:r>
      <w:r w:rsidR="000708F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созданы в </w:t>
      </w:r>
      <w:r w:rsidR="0045272F">
        <w:rPr>
          <w:rStyle w:val="a4"/>
          <w:rFonts w:ascii="Tahoma" w:hAnsi="Tahoma" w:cs="Tahoma"/>
          <w:b w:val="0"/>
          <w:color w:val="666666"/>
          <w:sz w:val="20"/>
          <w:szCs w:val="20"/>
        </w:rPr>
        <w:t>значительной мере</w:t>
      </w:r>
      <w:r w:rsidR="000708FC">
        <w:rPr>
          <w:rStyle w:val="a4"/>
          <w:rFonts w:ascii="Tahoma" w:hAnsi="Tahoma" w:cs="Tahoma"/>
          <w:b w:val="0"/>
          <w:color w:val="666666"/>
          <w:sz w:val="20"/>
          <w:szCs w:val="20"/>
        </w:rPr>
        <w:t xml:space="preserve"> в предыдущих периодах</w:t>
      </w:r>
      <w:r w:rsidRPr="00F2446C">
        <w:rPr>
          <w:rStyle w:val="a4"/>
          <w:rFonts w:ascii="Tahoma" w:hAnsi="Tahoma" w:cs="Tahoma"/>
          <w:b w:val="0"/>
          <w:color w:val="666666"/>
          <w:sz w:val="20"/>
          <w:szCs w:val="20"/>
        </w:rPr>
        <w:t>.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Style w:val="a4"/>
          <w:rFonts w:ascii="Tahoma" w:hAnsi="Tahoma" w:cs="Tahoma"/>
          <w:b w:val="0"/>
          <w:color w:val="666666"/>
          <w:sz w:val="20"/>
          <w:szCs w:val="20"/>
        </w:rPr>
      </w:pPr>
      <w:r w:rsidRPr="00F2446C">
        <w:rPr>
          <w:rFonts w:ascii="Tahoma" w:hAnsi="Tahoma" w:cs="Tahoma"/>
          <w:b/>
          <w:color w:val="666666"/>
          <w:sz w:val="20"/>
          <w:szCs w:val="20"/>
        </w:rPr>
        <w:t>Резерв под обесценение кредитного портфеля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увеличился за </w:t>
      </w:r>
      <w:r w:rsidR="00B96C8B">
        <w:rPr>
          <w:rFonts w:ascii="Tahoma" w:hAnsi="Tahoma" w:cs="Tahoma"/>
          <w:color w:val="666666"/>
          <w:sz w:val="20"/>
          <w:szCs w:val="20"/>
        </w:rPr>
        <w:t>первое полугодие 2015 года на 17</w:t>
      </w:r>
      <w:r w:rsidRPr="00F2446C">
        <w:rPr>
          <w:rFonts w:ascii="Tahoma" w:hAnsi="Tahoma" w:cs="Tahoma"/>
          <w:color w:val="666666"/>
          <w:sz w:val="20"/>
          <w:szCs w:val="20"/>
        </w:rPr>
        <w:t>,</w:t>
      </w:r>
      <w:r w:rsidR="00B96C8B">
        <w:rPr>
          <w:rFonts w:ascii="Tahoma" w:hAnsi="Tahoma" w:cs="Tahoma"/>
          <w:color w:val="666666"/>
          <w:sz w:val="20"/>
          <w:szCs w:val="20"/>
        </w:rPr>
        <w:t>9</w:t>
      </w:r>
      <w:r w:rsidRPr="00F2446C">
        <w:rPr>
          <w:rFonts w:ascii="Tahoma" w:hAnsi="Tahoma" w:cs="Tahoma"/>
          <w:color w:val="666666"/>
          <w:sz w:val="20"/>
          <w:szCs w:val="20"/>
        </w:rPr>
        <w:t>% и составил 1 025,1</w:t>
      </w:r>
      <w:r w:rsidRPr="00F2446C">
        <w:rPr>
          <w:rFonts w:ascii="Tahoma" w:hAnsi="Tahoma" w:cs="Tahoma"/>
          <w:color w:val="666666"/>
          <w:sz w:val="20"/>
          <w:szCs w:val="20"/>
          <w:lang w:val="en-US"/>
        </w:rPr>
        <w:t> 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млрд. руб. По состоянию на 30 июня 2015 года </w:t>
      </w:r>
      <w:r w:rsidRPr="00E73EF8">
        <w:rPr>
          <w:rFonts w:ascii="Tahoma" w:hAnsi="Tahoma" w:cs="Tahoma"/>
          <w:color w:val="666666"/>
          <w:sz w:val="20"/>
          <w:szCs w:val="20"/>
        </w:rPr>
        <w:t>отношение резерва под обесценение кредитного портфеля к совокупному кредитному портфелю до вычета резерва под обесценение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708FC">
        <w:rPr>
          <w:rFonts w:ascii="Tahoma" w:hAnsi="Tahoma" w:cs="Tahoma"/>
          <w:color w:val="666666"/>
          <w:sz w:val="20"/>
          <w:szCs w:val="20"/>
        </w:rPr>
        <w:t>достигло</w:t>
      </w:r>
      <w:r w:rsidR="000708FC" w:rsidRPr="00F2446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F2446C">
        <w:rPr>
          <w:rFonts w:ascii="Tahoma" w:hAnsi="Tahoma" w:cs="Tahoma"/>
          <w:color w:val="666666"/>
          <w:sz w:val="20"/>
          <w:szCs w:val="20"/>
        </w:rPr>
        <w:t>5,8% в сравнении с 4,7% на конец 2014 года.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Style w:val="a4"/>
          <w:rFonts w:ascii="Tahoma" w:hAnsi="Tahoma" w:cs="Tahoma"/>
          <w:b w:val="0"/>
          <w:color w:val="666666"/>
          <w:sz w:val="20"/>
          <w:szCs w:val="20"/>
        </w:rPr>
      </w:pPr>
      <w:r w:rsidRPr="00F2446C">
        <w:rPr>
          <w:rFonts w:ascii="Tahoma" w:hAnsi="Tahoma" w:cs="Tahoma"/>
          <w:color w:val="666666"/>
          <w:sz w:val="20"/>
          <w:szCs w:val="20"/>
        </w:rPr>
        <w:t xml:space="preserve">На 30 июня 2015 года </w:t>
      </w:r>
      <w:r w:rsidRPr="00F2446C">
        <w:rPr>
          <w:rFonts w:ascii="Tahoma" w:hAnsi="Tahoma" w:cs="Tahoma"/>
          <w:b/>
          <w:color w:val="666666"/>
          <w:sz w:val="20"/>
          <w:szCs w:val="20"/>
        </w:rPr>
        <w:t>общий объем обязательств</w:t>
      </w:r>
      <w:r w:rsidR="004E4F02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 w:rsidRPr="00F2446C">
        <w:rPr>
          <w:rFonts w:ascii="Tahoma" w:hAnsi="Tahoma" w:cs="Tahoma"/>
          <w:color w:val="666666"/>
          <w:sz w:val="20"/>
          <w:szCs w:val="20"/>
        </w:rPr>
        <w:t>Группы составил 21 494,4 млрд. руб., сократившись на 7,3% в первом полугодии 2015 года, при этом средства физических лиц составили 9 981,0 млрд. руб.</w:t>
      </w:r>
      <w:r w:rsidR="0045272F">
        <w:rPr>
          <w:rFonts w:ascii="Tahoma" w:hAnsi="Tahoma" w:cs="Tahoma"/>
          <w:color w:val="666666"/>
          <w:sz w:val="20"/>
          <w:szCs w:val="20"/>
        </w:rPr>
        <w:t>,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увеличившись на 7,0%. Средства физических лиц остаются основным источником финансирования Группы и составляют 46,4% всех обязательств</w:t>
      </w:r>
      <w:r w:rsidR="004E4F02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F2446C">
        <w:rPr>
          <w:rFonts w:ascii="Tahoma" w:hAnsi="Tahoma" w:cs="Tahoma"/>
          <w:color w:val="666666"/>
          <w:sz w:val="20"/>
          <w:szCs w:val="20"/>
        </w:rPr>
        <w:t>Группы. Средства корпоративных клиентов сократились на 5,9% в первом полугодии 2015 года и составили 5 869,1 млрд. руб. на 30 июня 2015 года (27,3% общего объема обязательств)</w:t>
      </w:r>
      <w:r w:rsidR="00B00567">
        <w:rPr>
          <w:rFonts w:ascii="Tahoma" w:hAnsi="Tahoma" w:cs="Tahoma"/>
          <w:color w:val="666666"/>
          <w:sz w:val="20"/>
          <w:szCs w:val="20"/>
        </w:rPr>
        <w:t>, отражая действия</w:t>
      </w:r>
      <w:r w:rsidR="000708FC">
        <w:rPr>
          <w:rFonts w:ascii="Tahoma" w:hAnsi="Tahoma" w:cs="Tahoma"/>
          <w:color w:val="666666"/>
          <w:sz w:val="20"/>
          <w:szCs w:val="20"/>
        </w:rPr>
        <w:t xml:space="preserve"> Банка по </w:t>
      </w:r>
      <w:r w:rsidR="00B00567">
        <w:rPr>
          <w:rFonts w:ascii="Tahoma" w:hAnsi="Tahoma" w:cs="Tahoma"/>
          <w:color w:val="666666"/>
          <w:sz w:val="20"/>
          <w:szCs w:val="20"/>
        </w:rPr>
        <w:t xml:space="preserve">сокращению </w:t>
      </w:r>
      <w:r w:rsidR="00D72A54">
        <w:rPr>
          <w:rFonts w:ascii="Tahoma" w:hAnsi="Tahoma" w:cs="Tahoma"/>
          <w:color w:val="666666"/>
          <w:sz w:val="20"/>
          <w:szCs w:val="20"/>
        </w:rPr>
        <w:t xml:space="preserve">объема </w:t>
      </w:r>
      <w:r w:rsidR="00B00567">
        <w:rPr>
          <w:rFonts w:ascii="Tahoma" w:hAnsi="Tahoma" w:cs="Tahoma"/>
          <w:color w:val="666666"/>
          <w:sz w:val="20"/>
          <w:szCs w:val="20"/>
        </w:rPr>
        <w:t>дорогих источников фондирования</w:t>
      </w:r>
      <w:r w:rsidRPr="00F2446C">
        <w:rPr>
          <w:rFonts w:ascii="Tahoma" w:hAnsi="Tahoma" w:cs="Tahoma"/>
          <w:color w:val="666666"/>
          <w:sz w:val="20"/>
          <w:szCs w:val="20"/>
        </w:rPr>
        <w:t>.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F2446C">
        <w:rPr>
          <w:rFonts w:ascii="Tahoma" w:hAnsi="Tahoma" w:cs="Tahoma"/>
          <w:color w:val="666666"/>
          <w:sz w:val="20"/>
          <w:szCs w:val="20"/>
        </w:rPr>
        <w:t xml:space="preserve">На 30 июня 2015 года </w:t>
      </w:r>
      <w:r w:rsidR="0045272F">
        <w:rPr>
          <w:rFonts w:ascii="Tahoma" w:hAnsi="Tahoma" w:cs="Tahoma"/>
          <w:b/>
          <w:color w:val="666666"/>
          <w:sz w:val="20"/>
          <w:szCs w:val="20"/>
        </w:rPr>
        <w:t>с</w:t>
      </w:r>
      <w:r w:rsidRPr="00F2446C">
        <w:rPr>
          <w:rFonts w:ascii="Tahoma" w:hAnsi="Tahoma" w:cs="Tahoma"/>
          <w:b/>
          <w:color w:val="666666"/>
          <w:sz w:val="20"/>
          <w:szCs w:val="20"/>
        </w:rPr>
        <w:t>редства банков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составили 2 023,6 млрд. руб., сократившись на 44,4% по сравнению с началом 2015 года. </w:t>
      </w:r>
      <w:r w:rsidR="0045272F">
        <w:rPr>
          <w:rFonts w:ascii="Tahoma" w:hAnsi="Tahoma" w:cs="Tahoma"/>
          <w:color w:val="666666"/>
          <w:sz w:val="20"/>
          <w:szCs w:val="20"/>
        </w:rPr>
        <w:t>Рост средств клиентов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в первом полугодии 2015 года позволил сократить задолженность Группы перед Банком России, являющуюся одним из наиболее дорогих источников фондирования Группы</w:t>
      </w:r>
      <w:r w:rsidR="002B1AA8">
        <w:rPr>
          <w:rFonts w:ascii="Tahoma" w:hAnsi="Tahoma" w:cs="Tahoma"/>
          <w:color w:val="666666"/>
          <w:sz w:val="20"/>
          <w:szCs w:val="20"/>
        </w:rPr>
        <w:t>,</w:t>
      </w:r>
      <w:r w:rsidR="002B1AA8" w:rsidRPr="002B1AA8">
        <w:rPr>
          <w:rFonts w:ascii="Tahoma" w:hAnsi="Tahoma" w:cs="Tahoma"/>
          <w:color w:val="666666"/>
          <w:sz w:val="20"/>
          <w:szCs w:val="20"/>
        </w:rPr>
        <w:t xml:space="preserve"> </w:t>
      </w:r>
      <w:r w:rsidR="002B1AA8" w:rsidRPr="00F2446C">
        <w:rPr>
          <w:rFonts w:ascii="Tahoma" w:hAnsi="Tahoma" w:cs="Tahoma"/>
          <w:color w:val="666666"/>
          <w:sz w:val="20"/>
          <w:szCs w:val="20"/>
        </w:rPr>
        <w:t>на 1 497,7 млрд. руб</w:t>
      </w:r>
      <w:r w:rsidRPr="00F2446C">
        <w:rPr>
          <w:rFonts w:ascii="Tahoma" w:hAnsi="Tahoma" w:cs="Tahoma"/>
          <w:color w:val="666666"/>
          <w:sz w:val="20"/>
          <w:szCs w:val="20"/>
        </w:rPr>
        <w:t>.</w:t>
      </w:r>
    </w:p>
    <w:p w:rsidR="009917D6" w:rsidRDefault="009917D6" w:rsidP="00D16280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 xml:space="preserve">В </w:t>
      </w:r>
      <w:r w:rsidRPr="008C4638">
        <w:rPr>
          <w:rFonts w:ascii="Tahoma" w:hAnsi="Tahoma" w:cs="Tahoma"/>
          <w:color w:val="666666"/>
          <w:sz w:val="20"/>
          <w:szCs w:val="20"/>
        </w:rPr>
        <w:t>мае 2015 года Группа досрочно полностью погасила синдицированный кредит в размере 1,5 миллиарда долларов США, который был привлечен в октябре 2012 года от консорциума иностранных банков и имел контрактный срок погашения в октябре 2015 года.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F2446C">
        <w:rPr>
          <w:rFonts w:ascii="Tahoma" w:hAnsi="Tahoma" w:cs="Tahoma"/>
          <w:color w:val="666666"/>
          <w:sz w:val="20"/>
          <w:szCs w:val="20"/>
        </w:rPr>
        <w:t xml:space="preserve">Рост средств физических лиц на фоне сокращения кредитного портфеля в первом полугодии 2015 года явился </w:t>
      </w:r>
      <w:r w:rsidR="0045272F">
        <w:rPr>
          <w:rFonts w:ascii="Tahoma" w:hAnsi="Tahoma" w:cs="Tahoma"/>
          <w:color w:val="666666"/>
          <w:sz w:val="20"/>
          <w:szCs w:val="20"/>
        </w:rPr>
        <w:t>основной причиной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улучшения показателя </w:t>
      </w:r>
      <w:r w:rsidRPr="008C4638">
        <w:rPr>
          <w:rFonts w:ascii="Tahoma" w:hAnsi="Tahoma" w:cs="Tahoma"/>
          <w:b/>
          <w:color w:val="666666"/>
          <w:sz w:val="20"/>
          <w:szCs w:val="20"/>
        </w:rPr>
        <w:t>отношения кредитного портфеля к средствам клиентов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, составившего 102,2% по состоянию на 30 июня 2015 года по сравнению со 110,8% на конец 2014 года. </w:t>
      </w:r>
    </w:p>
    <w:p w:rsidR="00D16280" w:rsidRPr="00F2446C" w:rsidRDefault="00D16280" w:rsidP="00D16280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F2446C">
        <w:rPr>
          <w:rFonts w:ascii="Tahoma" w:hAnsi="Tahoma" w:cs="Tahoma"/>
          <w:b/>
          <w:color w:val="666666"/>
          <w:sz w:val="20"/>
          <w:szCs w:val="20"/>
        </w:rPr>
        <w:t>Собственные средства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Группы составили 2 162,6 млрд. руб. по состоянию на 30 июня 2015 года, увеличившись на 7,1% </w:t>
      </w:r>
      <w:r w:rsidR="0045272F">
        <w:rPr>
          <w:rFonts w:ascii="Tahoma" w:hAnsi="Tahoma" w:cs="Tahoma"/>
          <w:color w:val="666666"/>
          <w:sz w:val="20"/>
          <w:szCs w:val="20"/>
        </w:rPr>
        <w:t>за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перво</w:t>
      </w:r>
      <w:r w:rsidR="0045272F">
        <w:rPr>
          <w:rFonts w:ascii="Tahoma" w:hAnsi="Tahoma" w:cs="Tahoma"/>
          <w:color w:val="666666"/>
          <w:sz w:val="20"/>
          <w:szCs w:val="20"/>
        </w:rPr>
        <w:t>е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полугоди</w:t>
      </w:r>
      <w:r w:rsidR="0045272F">
        <w:rPr>
          <w:rFonts w:ascii="Tahoma" w:hAnsi="Tahoma" w:cs="Tahoma"/>
          <w:color w:val="666666"/>
          <w:sz w:val="20"/>
          <w:szCs w:val="20"/>
        </w:rPr>
        <w:t>е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2015 года.</w:t>
      </w:r>
      <w:r w:rsidR="006A5C9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A5C9A" w:rsidRPr="002C52DA">
        <w:rPr>
          <w:rFonts w:ascii="Tahoma" w:hAnsi="Tahoma" w:cs="Tahoma"/>
          <w:color w:val="666666"/>
          <w:sz w:val="20"/>
          <w:szCs w:val="20"/>
        </w:rPr>
        <w:t>Основными источник</w:t>
      </w:r>
      <w:r w:rsidR="006A5C9A">
        <w:rPr>
          <w:rFonts w:ascii="Tahoma" w:hAnsi="Tahoma" w:cs="Tahoma"/>
          <w:color w:val="666666"/>
          <w:sz w:val="20"/>
          <w:szCs w:val="20"/>
        </w:rPr>
        <w:t>ами</w:t>
      </w:r>
      <w:r w:rsidR="006A5C9A" w:rsidRPr="002C52DA">
        <w:rPr>
          <w:rFonts w:ascii="Tahoma" w:hAnsi="Tahoma" w:cs="Tahoma"/>
          <w:color w:val="666666"/>
          <w:sz w:val="20"/>
          <w:szCs w:val="20"/>
        </w:rPr>
        <w:t xml:space="preserve"> роста стали </w:t>
      </w:r>
      <w:r w:rsidR="006A5C9A">
        <w:rPr>
          <w:rFonts w:ascii="Tahoma" w:hAnsi="Tahoma" w:cs="Tahoma"/>
          <w:color w:val="666666"/>
          <w:sz w:val="20"/>
          <w:szCs w:val="20"/>
        </w:rPr>
        <w:t>положительная</w:t>
      </w:r>
      <w:r w:rsidR="006A5C9A" w:rsidRPr="002C52DA">
        <w:rPr>
          <w:rFonts w:ascii="Tahoma" w:hAnsi="Tahoma" w:cs="Tahoma"/>
          <w:color w:val="666666"/>
          <w:sz w:val="20"/>
          <w:szCs w:val="20"/>
        </w:rPr>
        <w:t xml:space="preserve"> переоценк</w:t>
      </w:r>
      <w:r w:rsidR="006A5C9A">
        <w:rPr>
          <w:rFonts w:ascii="Tahoma" w:hAnsi="Tahoma" w:cs="Tahoma"/>
          <w:color w:val="666666"/>
          <w:sz w:val="20"/>
          <w:szCs w:val="20"/>
        </w:rPr>
        <w:t>а</w:t>
      </w:r>
      <w:r w:rsidR="006A5C9A" w:rsidRPr="002C52D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A5C9A">
        <w:rPr>
          <w:rFonts w:ascii="Tahoma" w:hAnsi="Tahoma" w:cs="Tahoma"/>
          <w:color w:val="666666"/>
          <w:sz w:val="20"/>
          <w:szCs w:val="20"/>
        </w:rPr>
        <w:t xml:space="preserve">ценных </w:t>
      </w:r>
      <w:r w:rsidR="006A5C9A" w:rsidRPr="002C52DA">
        <w:rPr>
          <w:rFonts w:ascii="Tahoma" w:hAnsi="Tahoma" w:cs="Tahoma"/>
          <w:color w:val="666666"/>
          <w:sz w:val="20"/>
          <w:szCs w:val="20"/>
        </w:rPr>
        <w:t>бумаг, имеющихся в наличии для продажи, и чистая прибыль Группы за отчетный период</w:t>
      </w:r>
      <w:r w:rsidR="006A5C9A">
        <w:rPr>
          <w:rFonts w:ascii="Tahoma" w:hAnsi="Tahoma" w:cs="Tahoma"/>
          <w:color w:val="666666"/>
          <w:sz w:val="20"/>
          <w:szCs w:val="20"/>
        </w:rPr>
        <w:t>.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A5C9A">
        <w:rPr>
          <w:rFonts w:ascii="Tahoma" w:hAnsi="Tahoma" w:cs="Tahoma"/>
          <w:b/>
          <w:color w:val="666666"/>
          <w:sz w:val="20"/>
          <w:szCs w:val="20"/>
        </w:rPr>
        <w:t>К</w:t>
      </w:r>
      <w:r w:rsidRPr="00E73EF8">
        <w:rPr>
          <w:rFonts w:ascii="Tahoma" w:hAnsi="Tahoma" w:cs="Tahoma"/>
          <w:b/>
          <w:color w:val="666666"/>
          <w:sz w:val="20"/>
          <w:szCs w:val="20"/>
        </w:rPr>
        <w:t>оэффициент достаточности общего капитала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Группы, рассчитанный в соответствии с требованиями </w:t>
      </w:r>
      <w:proofErr w:type="spellStart"/>
      <w:r w:rsidRPr="00F2446C">
        <w:rPr>
          <w:rFonts w:ascii="Tahoma" w:hAnsi="Tahoma" w:cs="Tahoma"/>
          <w:color w:val="666666"/>
          <w:sz w:val="20"/>
          <w:szCs w:val="20"/>
        </w:rPr>
        <w:t>Базельского</w:t>
      </w:r>
      <w:proofErr w:type="spellEnd"/>
      <w:r w:rsidRPr="00F2446C">
        <w:rPr>
          <w:rFonts w:ascii="Tahoma" w:hAnsi="Tahoma" w:cs="Tahoma"/>
          <w:color w:val="666666"/>
          <w:sz w:val="20"/>
          <w:szCs w:val="20"/>
        </w:rPr>
        <w:t xml:space="preserve"> соглашения (</w:t>
      </w:r>
      <w:r w:rsidR="00BF2C79">
        <w:rPr>
          <w:rFonts w:ascii="Tahoma" w:hAnsi="Tahoma" w:cs="Tahoma"/>
          <w:color w:val="666666"/>
          <w:sz w:val="20"/>
          <w:szCs w:val="20"/>
        </w:rPr>
        <w:t>Базель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F2446C">
        <w:rPr>
          <w:rFonts w:ascii="Tahoma" w:hAnsi="Tahoma" w:cs="Tahoma"/>
          <w:color w:val="666666"/>
          <w:sz w:val="20"/>
          <w:szCs w:val="20"/>
          <w:lang w:val="en-GB"/>
        </w:rPr>
        <w:t>I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), составил 13,4%; </w:t>
      </w:r>
      <w:r w:rsidRPr="00E73EF8">
        <w:rPr>
          <w:rFonts w:ascii="Tahoma" w:hAnsi="Tahoma" w:cs="Tahoma"/>
          <w:b/>
          <w:color w:val="666666"/>
          <w:sz w:val="20"/>
          <w:szCs w:val="20"/>
        </w:rPr>
        <w:t xml:space="preserve">коэффициент достаточности </w:t>
      </w:r>
      <w:r w:rsidR="008D6893" w:rsidRPr="00E73EF8">
        <w:rPr>
          <w:rFonts w:ascii="Tahoma" w:hAnsi="Tahoma" w:cs="Tahoma"/>
          <w:b/>
          <w:color w:val="666666"/>
          <w:sz w:val="20"/>
          <w:szCs w:val="20"/>
        </w:rPr>
        <w:t xml:space="preserve">основного </w:t>
      </w:r>
      <w:r w:rsidRPr="00E73EF8">
        <w:rPr>
          <w:rFonts w:ascii="Tahoma" w:hAnsi="Tahoma" w:cs="Tahoma"/>
          <w:b/>
          <w:color w:val="666666"/>
          <w:sz w:val="20"/>
          <w:szCs w:val="20"/>
        </w:rPr>
        <w:t>капитала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8D6893">
        <w:rPr>
          <w:rFonts w:ascii="Tahoma" w:hAnsi="Tahoma" w:cs="Tahoma"/>
          <w:color w:val="666666"/>
          <w:sz w:val="20"/>
          <w:szCs w:val="20"/>
        </w:rPr>
        <w:t xml:space="preserve">(капитала </w:t>
      </w:r>
      <w:r w:rsidR="00CD6CF4">
        <w:rPr>
          <w:rFonts w:ascii="Tahoma" w:hAnsi="Tahoma" w:cs="Tahoma"/>
          <w:color w:val="666666"/>
          <w:sz w:val="20"/>
          <w:szCs w:val="20"/>
        </w:rPr>
        <w:t>первого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уровня</w:t>
      </w:r>
      <w:r w:rsidR="008D6893">
        <w:rPr>
          <w:rFonts w:ascii="Tahoma" w:hAnsi="Tahoma" w:cs="Tahoma"/>
          <w:color w:val="666666"/>
          <w:sz w:val="20"/>
          <w:szCs w:val="20"/>
        </w:rPr>
        <w:t>)</w:t>
      </w:r>
      <w:r w:rsidRPr="00F2446C">
        <w:rPr>
          <w:rFonts w:ascii="Tahoma" w:hAnsi="Tahoma" w:cs="Tahoma"/>
          <w:color w:val="666666"/>
          <w:sz w:val="20"/>
          <w:szCs w:val="20"/>
        </w:rPr>
        <w:t xml:space="preserve"> составил 9,6%. Увеличение коэффициентов достаточности капитала по состоянию на 30 июня 2015 года объясняется, главным образом, </w:t>
      </w:r>
      <w:r w:rsidR="006A5C9A">
        <w:rPr>
          <w:rFonts w:ascii="Tahoma" w:hAnsi="Tahoma" w:cs="Tahoma"/>
          <w:color w:val="666666"/>
          <w:sz w:val="20"/>
          <w:szCs w:val="20"/>
        </w:rPr>
        <w:t>ростом</w:t>
      </w:r>
      <w:r w:rsidR="006A5C9A" w:rsidRPr="00F244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A5C9A">
        <w:rPr>
          <w:rFonts w:ascii="Tahoma" w:hAnsi="Tahoma" w:cs="Tahoma"/>
          <w:color w:val="666666"/>
          <w:sz w:val="20"/>
          <w:szCs w:val="20"/>
        </w:rPr>
        <w:t>собственных средств</w:t>
      </w:r>
      <w:r w:rsidRPr="00F2446C">
        <w:rPr>
          <w:rFonts w:ascii="Tahoma" w:hAnsi="Tahoma" w:cs="Tahoma"/>
          <w:color w:val="666666"/>
          <w:sz w:val="20"/>
          <w:szCs w:val="20"/>
        </w:rPr>
        <w:t>, а также снижением активов, взвешенных с учётом риска.</w:t>
      </w:r>
    </w:p>
    <w:p w:rsidR="00FF3FD3" w:rsidRPr="00A67A21" w:rsidRDefault="00D16280" w:rsidP="00D16280">
      <w:pPr>
        <w:shd w:val="clear" w:color="auto" w:fill="FFFFFF"/>
        <w:spacing w:after="300"/>
        <w:jc w:val="both"/>
      </w:pPr>
      <w:r w:rsidRPr="00F2446C">
        <w:rPr>
          <w:rStyle w:val="a3"/>
          <w:rFonts w:ascii="Tahoma" w:hAnsi="Tahoma" w:cs="Tahoma"/>
          <w:color w:val="006699"/>
          <w:sz w:val="20"/>
          <w:szCs w:val="20"/>
        </w:rPr>
        <w:t>Основные финансовые показатели Группы Сбербанка за шесть месяцев, закончившихся 30 июня 2015 года</w:t>
      </w:r>
    </w:p>
    <w:sectPr w:rsidR="00FF3FD3" w:rsidRPr="00A67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6" type="#_x0000_t75" style="width:3in;height:3in" o:bullet="t"/>
    </w:pict>
  </w:numPicBullet>
  <w:numPicBullet w:numPicBulletId="1">
    <w:pict>
      <v:shape id="_x0000_i1107" type="#_x0000_t75" style="width:3in;height:3in" o:bullet="t"/>
    </w:pict>
  </w:numPicBullet>
  <w:numPicBullet w:numPicBulletId="2">
    <w:pict>
      <v:shape id="_x0000_i1108" type="#_x0000_t75" style="width:3in;height:3in" o:bullet="t"/>
    </w:pict>
  </w:numPicBullet>
  <w:numPicBullet w:numPicBulletId="3">
    <w:pict>
      <v:shape id="_x0000_i1109" type="#_x0000_t75" style="width:3in;height:3in" o:bullet="t"/>
    </w:pict>
  </w:numPicBullet>
  <w:numPicBullet w:numPicBulletId="4">
    <w:pict>
      <v:shape id="_x0000_i1110" type="#_x0000_t75" style="width:3in;height:3in" o:bullet="t"/>
    </w:pict>
  </w:numPicBullet>
  <w:abstractNum w:abstractNumId="0">
    <w:nsid w:val="05314F58"/>
    <w:multiLevelType w:val="multilevel"/>
    <w:tmpl w:val="2766D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PicBulletId w:val="3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>
    <w:nsid w:val="20504A23"/>
    <w:multiLevelType w:val="multilevel"/>
    <w:tmpl w:val="B298F1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PicBulletId w:val="1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>
    <w:nsid w:val="26C16B94"/>
    <w:multiLevelType w:val="multilevel"/>
    <w:tmpl w:val="91D8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1FC7428"/>
    <w:multiLevelType w:val="multilevel"/>
    <w:tmpl w:val="B298F1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PicBulletId w:val="2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">
    <w:nsid w:val="77CE60D5"/>
    <w:multiLevelType w:val="multilevel"/>
    <w:tmpl w:val="B298F1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E2"/>
    <w:rsid w:val="00001575"/>
    <w:rsid w:val="0000215F"/>
    <w:rsid w:val="00002DDA"/>
    <w:rsid w:val="000070F6"/>
    <w:rsid w:val="00011BE6"/>
    <w:rsid w:val="0001432F"/>
    <w:rsid w:val="00023C53"/>
    <w:rsid w:val="00030716"/>
    <w:rsid w:val="000342FE"/>
    <w:rsid w:val="00043212"/>
    <w:rsid w:val="00046CBB"/>
    <w:rsid w:val="00050653"/>
    <w:rsid w:val="000539B0"/>
    <w:rsid w:val="00056D5B"/>
    <w:rsid w:val="000579DA"/>
    <w:rsid w:val="000623B3"/>
    <w:rsid w:val="00062B99"/>
    <w:rsid w:val="000703F1"/>
    <w:rsid w:val="00070571"/>
    <w:rsid w:val="000708FC"/>
    <w:rsid w:val="000731E8"/>
    <w:rsid w:val="000753BB"/>
    <w:rsid w:val="00080C25"/>
    <w:rsid w:val="000878CC"/>
    <w:rsid w:val="000912FB"/>
    <w:rsid w:val="00092255"/>
    <w:rsid w:val="00093158"/>
    <w:rsid w:val="00094CD5"/>
    <w:rsid w:val="00097076"/>
    <w:rsid w:val="000A3B57"/>
    <w:rsid w:val="000A4C94"/>
    <w:rsid w:val="000B40CA"/>
    <w:rsid w:val="000C54D5"/>
    <w:rsid w:val="000C6BEF"/>
    <w:rsid w:val="000D3CE2"/>
    <w:rsid w:val="000E07C4"/>
    <w:rsid w:val="000E1518"/>
    <w:rsid w:val="000E53E8"/>
    <w:rsid w:val="000E5EA4"/>
    <w:rsid w:val="000E6071"/>
    <w:rsid w:val="000E71A8"/>
    <w:rsid w:val="000F0B13"/>
    <w:rsid w:val="000F1463"/>
    <w:rsid w:val="000F1513"/>
    <w:rsid w:val="000F29BA"/>
    <w:rsid w:val="000F5049"/>
    <w:rsid w:val="000F5BCB"/>
    <w:rsid w:val="00102D6C"/>
    <w:rsid w:val="00103F67"/>
    <w:rsid w:val="0010478A"/>
    <w:rsid w:val="001065C0"/>
    <w:rsid w:val="00111208"/>
    <w:rsid w:val="00112AE6"/>
    <w:rsid w:val="00114DC0"/>
    <w:rsid w:val="00117255"/>
    <w:rsid w:val="00124CCA"/>
    <w:rsid w:val="00130DA9"/>
    <w:rsid w:val="00135EC5"/>
    <w:rsid w:val="001431BD"/>
    <w:rsid w:val="00145A71"/>
    <w:rsid w:val="00146F34"/>
    <w:rsid w:val="001509EF"/>
    <w:rsid w:val="00151D2C"/>
    <w:rsid w:val="00155C80"/>
    <w:rsid w:val="00156448"/>
    <w:rsid w:val="0016069C"/>
    <w:rsid w:val="00181216"/>
    <w:rsid w:val="001841D6"/>
    <w:rsid w:val="001904F0"/>
    <w:rsid w:val="00195B20"/>
    <w:rsid w:val="001966B2"/>
    <w:rsid w:val="0019794C"/>
    <w:rsid w:val="001A1C9B"/>
    <w:rsid w:val="001A1EC6"/>
    <w:rsid w:val="001A3CF8"/>
    <w:rsid w:val="001A7C4A"/>
    <w:rsid w:val="001B1202"/>
    <w:rsid w:val="001B6AC4"/>
    <w:rsid w:val="001D1899"/>
    <w:rsid w:val="001D51F9"/>
    <w:rsid w:val="001D72A7"/>
    <w:rsid w:val="001D7357"/>
    <w:rsid w:val="001E3006"/>
    <w:rsid w:val="001E76DC"/>
    <w:rsid w:val="001F2AFE"/>
    <w:rsid w:val="001F532A"/>
    <w:rsid w:val="002039AB"/>
    <w:rsid w:val="002137AB"/>
    <w:rsid w:val="002233A7"/>
    <w:rsid w:val="00224FA0"/>
    <w:rsid w:val="00225B27"/>
    <w:rsid w:val="00226630"/>
    <w:rsid w:val="002268B3"/>
    <w:rsid w:val="00230F09"/>
    <w:rsid w:val="00231F18"/>
    <w:rsid w:val="00237CAB"/>
    <w:rsid w:val="0024349C"/>
    <w:rsid w:val="002542C5"/>
    <w:rsid w:val="00260955"/>
    <w:rsid w:val="002639D8"/>
    <w:rsid w:val="00263BE2"/>
    <w:rsid w:val="00265EA2"/>
    <w:rsid w:val="00266683"/>
    <w:rsid w:val="00267CD2"/>
    <w:rsid w:val="002713A8"/>
    <w:rsid w:val="00273CA4"/>
    <w:rsid w:val="00284945"/>
    <w:rsid w:val="00285323"/>
    <w:rsid w:val="00295A44"/>
    <w:rsid w:val="002A27DB"/>
    <w:rsid w:val="002A3B6C"/>
    <w:rsid w:val="002A52E3"/>
    <w:rsid w:val="002A6E88"/>
    <w:rsid w:val="002B0D73"/>
    <w:rsid w:val="002B1AA8"/>
    <w:rsid w:val="002B4192"/>
    <w:rsid w:val="002B4646"/>
    <w:rsid w:val="002C1558"/>
    <w:rsid w:val="002C2272"/>
    <w:rsid w:val="002C5095"/>
    <w:rsid w:val="002C52DA"/>
    <w:rsid w:val="002C5731"/>
    <w:rsid w:val="002C6A10"/>
    <w:rsid w:val="002C6D07"/>
    <w:rsid w:val="002C73EE"/>
    <w:rsid w:val="002E336D"/>
    <w:rsid w:val="002E5C41"/>
    <w:rsid w:val="002E768A"/>
    <w:rsid w:val="00304EF2"/>
    <w:rsid w:val="0031086C"/>
    <w:rsid w:val="00321598"/>
    <w:rsid w:val="00323ABE"/>
    <w:rsid w:val="00330F48"/>
    <w:rsid w:val="00334570"/>
    <w:rsid w:val="003432F3"/>
    <w:rsid w:val="00344116"/>
    <w:rsid w:val="003532FD"/>
    <w:rsid w:val="00357A61"/>
    <w:rsid w:val="003639B8"/>
    <w:rsid w:val="0036761D"/>
    <w:rsid w:val="00375341"/>
    <w:rsid w:val="00393331"/>
    <w:rsid w:val="00393846"/>
    <w:rsid w:val="00393D13"/>
    <w:rsid w:val="003958C8"/>
    <w:rsid w:val="003A4F53"/>
    <w:rsid w:val="003B0486"/>
    <w:rsid w:val="003B1964"/>
    <w:rsid w:val="003B287D"/>
    <w:rsid w:val="003B2FC3"/>
    <w:rsid w:val="003B3A22"/>
    <w:rsid w:val="003B5889"/>
    <w:rsid w:val="003C3587"/>
    <w:rsid w:val="003D1F00"/>
    <w:rsid w:val="003D69BC"/>
    <w:rsid w:val="003D7E41"/>
    <w:rsid w:val="003E0FF7"/>
    <w:rsid w:val="003E77C5"/>
    <w:rsid w:val="003F01F4"/>
    <w:rsid w:val="00402147"/>
    <w:rsid w:val="004023AF"/>
    <w:rsid w:val="00416AC1"/>
    <w:rsid w:val="00417FF5"/>
    <w:rsid w:val="0042018D"/>
    <w:rsid w:val="00430071"/>
    <w:rsid w:val="004376D2"/>
    <w:rsid w:val="00440892"/>
    <w:rsid w:val="00441694"/>
    <w:rsid w:val="0045118F"/>
    <w:rsid w:val="00451AA6"/>
    <w:rsid w:val="0045272F"/>
    <w:rsid w:val="0045601F"/>
    <w:rsid w:val="00456970"/>
    <w:rsid w:val="0046172C"/>
    <w:rsid w:val="00466DE2"/>
    <w:rsid w:val="00474E4C"/>
    <w:rsid w:val="00481599"/>
    <w:rsid w:val="00482960"/>
    <w:rsid w:val="004921F5"/>
    <w:rsid w:val="00493260"/>
    <w:rsid w:val="004939C7"/>
    <w:rsid w:val="004947F3"/>
    <w:rsid w:val="004A0084"/>
    <w:rsid w:val="004B2BCE"/>
    <w:rsid w:val="004B310E"/>
    <w:rsid w:val="004B4EF3"/>
    <w:rsid w:val="004C1AD7"/>
    <w:rsid w:val="004D1B23"/>
    <w:rsid w:val="004D22E4"/>
    <w:rsid w:val="004D56C9"/>
    <w:rsid w:val="004D5CCF"/>
    <w:rsid w:val="004E1D2D"/>
    <w:rsid w:val="004E31A7"/>
    <w:rsid w:val="004E3F75"/>
    <w:rsid w:val="004E4F02"/>
    <w:rsid w:val="004F7D25"/>
    <w:rsid w:val="00501A83"/>
    <w:rsid w:val="00505BFB"/>
    <w:rsid w:val="0051090A"/>
    <w:rsid w:val="005156D4"/>
    <w:rsid w:val="0052294A"/>
    <w:rsid w:val="00523BA4"/>
    <w:rsid w:val="00525078"/>
    <w:rsid w:val="005270A5"/>
    <w:rsid w:val="00527FAF"/>
    <w:rsid w:val="005319F6"/>
    <w:rsid w:val="005333B5"/>
    <w:rsid w:val="0053709A"/>
    <w:rsid w:val="005375CE"/>
    <w:rsid w:val="00540F6A"/>
    <w:rsid w:val="005442D6"/>
    <w:rsid w:val="00551328"/>
    <w:rsid w:val="00551471"/>
    <w:rsid w:val="0055412D"/>
    <w:rsid w:val="00557DDF"/>
    <w:rsid w:val="00561863"/>
    <w:rsid w:val="00576FB5"/>
    <w:rsid w:val="00593ACA"/>
    <w:rsid w:val="00597FDD"/>
    <w:rsid w:val="005A1093"/>
    <w:rsid w:val="005A6204"/>
    <w:rsid w:val="005C1AF2"/>
    <w:rsid w:val="005C4ACF"/>
    <w:rsid w:val="005D0A26"/>
    <w:rsid w:val="005D30A3"/>
    <w:rsid w:val="005E0FE6"/>
    <w:rsid w:val="00600116"/>
    <w:rsid w:val="006034B4"/>
    <w:rsid w:val="006056CA"/>
    <w:rsid w:val="00610A47"/>
    <w:rsid w:val="00613419"/>
    <w:rsid w:val="00620168"/>
    <w:rsid w:val="00620F4F"/>
    <w:rsid w:val="00623FAE"/>
    <w:rsid w:val="00630C76"/>
    <w:rsid w:val="006315A2"/>
    <w:rsid w:val="00644CE5"/>
    <w:rsid w:val="00645532"/>
    <w:rsid w:val="006515F1"/>
    <w:rsid w:val="0065389E"/>
    <w:rsid w:val="00654A8B"/>
    <w:rsid w:val="00654B30"/>
    <w:rsid w:val="006629F7"/>
    <w:rsid w:val="0066519B"/>
    <w:rsid w:val="00665B14"/>
    <w:rsid w:val="0068097D"/>
    <w:rsid w:val="00685D4D"/>
    <w:rsid w:val="006866CF"/>
    <w:rsid w:val="00692D77"/>
    <w:rsid w:val="00697433"/>
    <w:rsid w:val="006A10C8"/>
    <w:rsid w:val="006A3861"/>
    <w:rsid w:val="006A5C9A"/>
    <w:rsid w:val="006A63CD"/>
    <w:rsid w:val="006A76D9"/>
    <w:rsid w:val="006B5A91"/>
    <w:rsid w:val="006B6D23"/>
    <w:rsid w:val="006B7D7D"/>
    <w:rsid w:val="006C2084"/>
    <w:rsid w:val="006D7FBD"/>
    <w:rsid w:val="006E719E"/>
    <w:rsid w:val="006F3C2E"/>
    <w:rsid w:val="006F4698"/>
    <w:rsid w:val="00703903"/>
    <w:rsid w:val="0070751F"/>
    <w:rsid w:val="0071053A"/>
    <w:rsid w:val="00710EB8"/>
    <w:rsid w:val="0071451B"/>
    <w:rsid w:val="007262CE"/>
    <w:rsid w:val="00736BFA"/>
    <w:rsid w:val="0073779E"/>
    <w:rsid w:val="00737FD1"/>
    <w:rsid w:val="007452BB"/>
    <w:rsid w:val="007456E1"/>
    <w:rsid w:val="0075276C"/>
    <w:rsid w:val="0075402E"/>
    <w:rsid w:val="00754B26"/>
    <w:rsid w:val="00754FB5"/>
    <w:rsid w:val="007620A6"/>
    <w:rsid w:val="007665F0"/>
    <w:rsid w:val="0076724B"/>
    <w:rsid w:val="0077107C"/>
    <w:rsid w:val="00772193"/>
    <w:rsid w:val="00774844"/>
    <w:rsid w:val="00775CDF"/>
    <w:rsid w:val="00776960"/>
    <w:rsid w:val="0078527E"/>
    <w:rsid w:val="0078694B"/>
    <w:rsid w:val="007947B4"/>
    <w:rsid w:val="00796259"/>
    <w:rsid w:val="007A57D1"/>
    <w:rsid w:val="007B3464"/>
    <w:rsid w:val="007B3B65"/>
    <w:rsid w:val="007C0ECC"/>
    <w:rsid w:val="007C3017"/>
    <w:rsid w:val="007C56BA"/>
    <w:rsid w:val="007D1524"/>
    <w:rsid w:val="007D3799"/>
    <w:rsid w:val="007D3C17"/>
    <w:rsid w:val="007D7147"/>
    <w:rsid w:val="007D7E62"/>
    <w:rsid w:val="007E6028"/>
    <w:rsid w:val="007F2B0B"/>
    <w:rsid w:val="007F3504"/>
    <w:rsid w:val="007F6E09"/>
    <w:rsid w:val="008034C0"/>
    <w:rsid w:val="00805DA8"/>
    <w:rsid w:val="00817675"/>
    <w:rsid w:val="00820933"/>
    <w:rsid w:val="00823CE3"/>
    <w:rsid w:val="00825FE0"/>
    <w:rsid w:val="00832256"/>
    <w:rsid w:val="00834B05"/>
    <w:rsid w:val="00837911"/>
    <w:rsid w:val="00842411"/>
    <w:rsid w:val="0084596F"/>
    <w:rsid w:val="008514A8"/>
    <w:rsid w:val="00855405"/>
    <w:rsid w:val="00857AAF"/>
    <w:rsid w:val="008624A0"/>
    <w:rsid w:val="008634F6"/>
    <w:rsid w:val="00865015"/>
    <w:rsid w:val="008654B1"/>
    <w:rsid w:val="00865A0B"/>
    <w:rsid w:val="008734D4"/>
    <w:rsid w:val="0087385A"/>
    <w:rsid w:val="008740E8"/>
    <w:rsid w:val="00877671"/>
    <w:rsid w:val="008808D1"/>
    <w:rsid w:val="00880E0E"/>
    <w:rsid w:val="00885BD4"/>
    <w:rsid w:val="00885C27"/>
    <w:rsid w:val="008879D1"/>
    <w:rsid w:val="00890C48"/>
    <w:rsid w:val="00892EBA"/>
    <w:rsid w:val="008A1ACE"/>
    <w:rsid w:val="008A39C5"/>
    <w:rsid w:val="008A3BC2"/>
    <w:rsid w:val="008B4473"/>
    <w:rsid w:val="008B50DA"/>
    <w:rsid w:val="008C4638"/>
    <w:rsid w:val="008C68D6"/>
    <w:rsid w:val="008C7568"/>
    <w:rsid w:val="008D111E"/>
    <w:rsid w:val="008D551D"/>
    <w:rsid w:val="008D6893"/>
    <w:rsid w:val="008D7FC4"/>
    <w:rsid w:val="008E31EF"/>
    <w:rsid w:val="008E540E"/>
    <w:rsid w:val="00904299"/>
    <w:rsid w:val="00904E3E"/>
    <w:rsid w:val="00905BDB"/>
    <w:rsid w:val="00906C12"/>
    <w:rsid w:val="0090762E"/>
    <w:rsid w:val="00910EA6"/>
    <w:rsid w:val="0091213B"/>
    <w:rsid w:val="00913992"/>
    <w:rsid w:val="00914768"/>
    <w:rsid w:val="009179F1"/>
    <w:rsid w:val="00920B79"/>
    <w:rsid w:val="00921F3C"/>
    <w:rsid w:val="00922F5A"/>
    <w:rsid w:val="00924CEC"/>
    <w:rsid w:val="0093034F"/>
    <w:rsid w:val="0093313F"/>
    <w:rsid w:val="009337F1"/>
    <w:rsid w:val="009407D6"/>
    <w:rsid w:val="00943F07"/>
    <w:rsid w:val="009455C9"/>
    <w:rsid w:val="00946558"/>
    <w:rsid w:val="0094759D"/>
    <w:rsid w:val="009602F3"/>
    <w:rsid w:val="00960799"/>
    <w:rsid w:val="0096134A"/>
    <w:rsid w:val="00965F7D"/>
    <w:rsid w:val="009707F4"/>
    <w:rsid w:val="00972F65"/>
    <w:rsid w:val="0097369F"/>
    <w:rsid w:val="009917D6"/>
    <w:rsid w:val="00994A96"/>
    <w:rsid w:val="009A2EB9"/>
    <w:rsid w:val="009A44C8"/>
    <w:rsid w:val="009A698F"/>
    <w:rsid w:val="009B28B0"/>
    <w:rsid w:val="009B40CC"/>
    <w:rsid w:val="009C0FBF"/>
    <w:rsid w:val="009C1AA1"/>
    <w:rsid w:val="009C6755"/>
    <w:rsid w:val="009C734E"/>
    <w:rsid w:val="009D1286"/>
    <w:rsid w:val="009D361D"/>
    <w:rsid w:val="009D4D57"/>
    <w:rsid w:val="009E30DB"/>
    <w:rsid w:val="009E76AD"/>
    <w:rsid w:val="009F0120"/>
    <w:rsid w:val="009F2AFC"/>
    <w:rsid w:val="009F3D11"/>
    <w:rsid w:val="009F716A"/>
    <w:rsid w:val="00A03E7C"/>
    <w:rsid w:val="00A04266"/>
    <w:rsid w:val="00A117C7"/>
    <w:rsid w:val="00A119B8"/>
    <w:rsid w:val="00A1325F"/>
    <w:rsid w:val="00A34448"/>
    <w:rsid w:val="00A36F8B"/>
    <w:rsid w:val="00A37684"/>
    <w:rsid w:val="00A41C26"/>
    <w:rsid w:val="00A62239"/>
    <w:rsid w:val="00A67A21"/>
    <w:rsid w:val="00A76633"/>
    <w:rsid w:val="00A85619"/>
    <w:rsid w:val="00A8766A"/>
    <w:rsid w:val="00A918CD"/>
    <w:rsid w:val="00A92BD6"/>
    <w:rsid w:val="00A93185"/>
    <w:rsid w:val="00A95ED5"/>
    <w:rsid w:val="00A96FE6"/>
    <w:rsid w:val="00A979AA"/>
    <w:rsid w:val="00AA4195"/>
    <w:rsid w:val="00AB0165"/>
    <w:rsid w:val="00AC0772"/>
    <w:rsid w:val="00AC7709"/>
    <w:rsid w:val="00AC7A7E"/>
    <w:rsid w:val="00AC7C1E"/>
    <w:rsid w:val="00AD3342"/>
    <w:rsid w:val="00AD7B09"/>
    <w:rsid w:val="00AE3F8B"/>
    <w:rsid w:val="00AE55FA"/>
    <w:rsid w:val="00AF5764"/>
    <w:rsid w:val="00B003AF"/>
    <w:rsid w:val="00B00567"/>
    <w:rsid w:val="00B012F5"/>
    <w:rsid w:val="00B13871"/>
    <w:rsid w:val="00B14478"/>
    <w:rsid w:val="00B14F2D"/>
    <w:rsid w:val="00B159A2"/>
    <w:rsid w:val="00B15EB4"/>
    <w:rsid w:val="00B2562B"/>
    <w:rsid w:val="00B32877"/>
    <w:rsid w:val="00B338A0"/>
    <w:rsid w:val="00B35B57"/>
    <w:rsid w:val="00B4327A"/>
    <w:rsid w:val="00B445D8"/>
    <w:rsid w:val="00B47E6B"/>
    <w:rsid w:val="00B564F0"/>
    <w:rsid w:val="00B60268"/>
    <w:rsid w:val="00B61456"/>
    <w:rsid w:val="00B8186D"/>
    <w:rsid w:val="00B821B9"/>
    <w:rsid w:val="00B8358C"/>
    <w:rsid w:val="00B84485"/>
    <w:rsid w:val="00B84D76"/>
    <w:rsid w:val="00B86944"/>
    <w:rsid w:val="00B93E98"/>
    <w:rsid w:val="00B94A59"/>
    <w:rsid w:val="00B94EDA"/>
    <w:rsid w:val="00B96C8B"/>
    <w:rsid w:val="00BA3888"/>
    <w:rsid w:val="00BA7A94"/>
    <w:rsid w:val="00BB04D2"/>
    <w:rsid w:val="00BB55B6"/>
    <w:rsid w:val="00BB6078"/>
    <w:rsid w:val="00BC0BC2"/>
    <w:rsid w:val="00BC3DA0"/>
    <w:rsid w:val="00BD6E8D"/>
    <w:rsid w:val="00BD7B42"/>
    <w:rsid w:val="00BE7C7C"/>
    <w:rsid w:val="00BF2C79"/>
    <w:rsid w:val="00C0164D"/>
    <w:rsid w:val="00C04B27"/>
    <w:rsid w:val="00C04C32"/>
    <w:rsid w:val="00C13989"/>
    <w:rsid w:val="00C1742A"/>
    <w:rsid w:val="00C238BF"/>
    <w:rsid w:val="00C23C23"/>
    <w:rsid w:val="00C248F2"/>
    <w:rsid w:val="00C24F8B"/>
    <w:rsid w:val="00C26729"/>
    <w:rsid w:val="00C31859"/>
    <w:rsid w:val="00C425A4"/>
    <w:rsid w:val="00C42C5C"/>
    <w:rsid w:val="00C43C85"/>
    <w:rsid w:val="00C455A4"/>
    <w:rsid w:val="00C45A44"/>
    <w:rsid w:val="00C56E3A"/>
    <w:rsid w:val="00C6606F"/>
    <w:rsid w:val="00C67076"/>
    <w:rsid w:val="00C72DF1"/>
    <w:rsid w:val="00C7478C"/>
    <w:rsid w:val="00C74B34"/>
    <w:rsid w:val="00C75D10"/>
    <w:rsid w:val="00C83B20"/>
    <w:rsid w:val="00C83FBA"/>
    <w:rsid w:val="00C8702A"/>
    <w:rsid w:val="00C93253"/>
    <w:rsid w:val="00C957C8"/>
    <w:rsid w:val="00C95DFA"/>
    <w:rsid w:val="00CA057F"/>
    <w:rsid w:val="00CA554C"/>
    <w:rsid w:val="00CB2BDA"/>
    <w:rsid w:val="00CB40DC"/>
    <w:rsid w:val="00CB767E"/>
    <w:rsid w:val="00CD0A2B"/>
    <w:rsid w:val="00CD30A3"/>
    <w:rsid w:val="00CD6CF4"/>
    <w:rsid w:val="00CE1B65"/>
    <w:rsid w:val="00CE2031"/>
    <w:rsid w:val="00D046E2"/>
    <w:rsid w:val="00D05E05"/>
    <w:rsid w:val="00D111A6"/>
    <w:rsid w:val="00D11619"/>
    <w:rsid w:val="00D127BB"/>
    <w:rsid w:val="00D12C13"/>
    <w:rsid w:val="00D12E71"/>
    <w:rsid w:val="00D152CA"/>
    <w:rsid w:val="00D16280"/>
    <w:rsid w:val="00D27F35"/>
    <w:rsid w:val="00D326B3"/>
    <w:rsid w:val="00D32E35"/>
    <w:rsid w:val="00D4324A"/>
    <w:rsid w:val="00D447A7"/>
    <w:rsid w:val="00D57428"/>
    <w:rsid w:val="00D61302"/>
    <w:rsid w:val="00D61EDB"/>
    <w:rsid w:val="00D6258E"/>
    <w:rsid w:val="00D6351A"/>
    <w:rsid w:val="00D72A54"/>
    <w:rsid w:val="00D7663C"/>
    <w:rsid w:val="00D81E3B"/>
    <w:rsid w:val="00D81EB0"/>
    <w:rsid w:val="00D947D4"/>
    <w:rsid w:val="00DA083B"/>
    <w:rsid w:val="00DA1CE9"/>
    <w:rsid w:val="00DB62D2"/>
    <w:rsid w:val="00DC431F"/>
    <w:rsid w:val="00DC4E7E"/>
    <w:rsid w:val="00DC5A13"/>
    <w:rsid w:val="00DD2DBE"/>
    <w:rsid w:val="00DD5927"/>
    <w:rsid w:val="00DE7F2B"/>
    <w:rsid w:val="00DF6343"/>
    <w:rsid w:val="00DF6D30"/>
    <w:rsid w:val="00E02AF5"/>
    <w:rsid w:val="00E1265E"/>
    <w:rsid w:val="00E15DEE"/>
    <w:rsid w:val="00E21D63"/>
    <w:rsid w:val="00E24F4C"/>
    <w:rsid w:val="00E307A0"/>
    <w:rsid w:val="00E3780E"/>
    <w:rsid w:val="00E42B26"/>
    <w:rsid w:val="00E454B2"/>
    <w:rsid w:val="00E4665F"/>
    <w:rsid w:val="00E532F2"/>
    <w:rsid w:val="00E53AD0"/>
    <w:rsid w:val="00E55332"/>
    <w:rsid w:val="00E57FBA"/>
    <w:rsid w:val="00E60B37"/>
    <w:rsid w:val="00E61748"/>
    <w:rsid w:val="00E62293"/>
    <w:rsid w:val="00E7227C"/>
    <w:rsid w:val="00E73EF8"/>
    <w:rsid w:val="00E744EE"/>
    <w:rsid w:val="00E844B7"/>
    <w:rsid w:val="00E903D1"/>
    <w:rsid w:val="00E93BF0"/>
    <w:rsid w:val="00E965C4"/>
    <w:rsid w:val="00EB0469"/>
    <w:rsid w:val="00EB7113"/>
    <w:rsid w:val="00EC2D5C"/>
    <w:rsid w:val="00EC4874"/>
    <w:rsid w:val="00EC7A46"/>
    <w:rsid w:val="00ED010C"/>
    <w:rsid w:val="00ED2D3F"/>
    <w:rsid w:val="00ED3825"/>
    <w:rsid w:val="00ED4938"/>
    <w:rsid w:val="00EF303A"/>
    <w:rsid w:val="00EF3217"/>
    <w:rsid w:val="00EF4533"/>
    <w:rsid w:val="00F03F3F"/>
    <w:rsid w:val="00F06511"/>
    <w:rsid w:val="00F07F7D"/>
    <w:rsid w:val="00F10CAE"/>
    <w:rsid w:val="00F20014"/>
    <w:rsid w:val="00F2052A"/>
    <w:rsid w:val="00F227C2"/>
    <w:rsid w:val="00F2446C"/>
    <w:rsid w:val="00F27014"/>
    <w:rsid w:val="00F32439"/>
    <w:rsid w:val="00F33B62"/>
    <w:rsid w:val="00F344ED"/>
    <w:rsid w:val="00F43E89"/>
    <w:rsid w:val="00F469F5"/>
    <w:rsid w:val="00F56C91"/>
    <w:rsid w:val="00F60CF6"/>
    <w:rsid w:val="00F6406A"/>
    <w:rsid w:val="00F64798"/>
    <w:rsid w:val="00F65967"/>
    <w:rsid w:val="00F65DD9"/>
    <w:rsid w:val="00F7001A"/>
    <w:rsid w:val="00F70D63"/>
    <w:rsid w:val="00F731BA"/>
    <w:rsid w:val="00F75EFB"/>
    <w:rsid w:val="00F75FD8"/>
    <w:rsid w:val="00F80198"/>
    <w:rsid w:val="00F81F89"/>
    <w:rsid w:val="00F85A81"/>
    <w:rsid w:val="00F8673C"/>
    <w:rsid w:val="00F87E4C"/>
    <w:rsid w:val="00F92669"/>
    <w:rsid w:val="00F92685"/>
    <w:rsid w:val="00F96669"/>
    <w:rsid w:val="00F97C18"/>
    <w:rsid w:val="00FA3C9F"/>
    <w:rsid w:val="00FA5355"/>
    <w:rsid w:val="00FA7ABC"/>
    <w:rsid w:val="00FB1A18"/>
    <w:rsid w:val="00FC174E"/>
    <w:rsid w:val="00FC2BC7"/>
    <w:rsid w:val="00FD6A85"/>
    <w:rsid w:val="00FD7D91"/>
    <w:rsid w:val="00FE3920"/>
    <w:rsid w:val="00FE41EF"/>
    <w:rsid w:val="00FE57D8"/>
    <w:rsid w:val="00FF03D7"/>
    <w:rsid w:val="00FF1C42"/>
    <w:rsid w:val="00FF3FD3"/>
    <w:rsid w:val="00FF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825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ED3825"/>
    <w:rPr>
      <w:b/>
      <w:bCs/>
    </w:rPr>
  </w:style>
  <w:style w:type="paragraph" w:styleId="a5">
    <w:name w:val="List Paragraph"/>
    <w:basedOn w:val="a"/>
    <w:uiPriority w:val="34"/>
    <w:qFormat/>
    <w:rsid w:val="007D15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B58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5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SFieldsPrintSymbol">
    <w:name w:val="FS Fields Print Symbol"/>
    <w:basedOn w:val="a0"/>
    <w:uiPriority w:val="1"/>
    <w:rsid w:val="009917D6"/>
    <w:rPr>
      <w:rFonts w:ascii="Calibri" w:hAnsi="Calibri" w:cs="Arial"/>
      <w:b w:val="0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825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ED3825"/>
    <w:rPr>
      <w:b/>
      <w:bCs/>
    </w:rPr>
  </w:style>
  <w:style w:type="paragraph" w:styleId="a5">
    <w:name w:val="List Paragraph"/>
    <w:basedOn w:val="a"/>
    <w:uiPriority w:val="34"/>
    <w:qFormat/>
    <w:rsid w:val="007D15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B58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5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SFieldsPrintSymbol">
    <w:name w:val="FS Fields Print Symbol"/>
    <w:basedOn w:val="a0"/>
    <w:uiPriority w:val="1"/>
    <w:rsid w:val="009917D6"/>
    <w:rPr>
      <w:rFonts w:ascii="Calibri" w:hAnsi="Calibri" w:cs="Arial"/>
      <w:b w:val="0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brf.ru/common/img/uploaded/files/info/ifrs2011/Word_rus_27_03_2012_v5_final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1BBA3-9033-44E2-AB98-B58C4201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 RF</Company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Вялова Вера</dc:creator>
  <cp:lastModifiedBy>Гришаева Елена Андреевна</cp:lastModifiedBy>
  <cp:revision>17</cp:revision>
  <cp:lastPrinted>2015-08-26T07:24:00Z</cp:lastPrinted>
  <dcterms:created xsi:type="dcterms:W3CDTF">2015-08-25T14:58:00Z</dcterms:created>
  <dcterms:modified xsi:type="dcterms:W3CDTF">2015-08-25T16:22:00Z</dcterms:modified>
</cp:coreProperties>
</file>